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关于OA系统通用审批模块“部门公务处理流程”的使用说明</w:t>
      </w:r>
    </w:p>
    <w:p>
      <w:pPr>
        <w:spacing w:before="156" w:beforeLines="50" w:after="156" w:afterLines="50" w:line="560" w:lineRule="exact"/>
        <w:jc w:val="left"/>
        <w:rPr>
          <w:rFonts w:hint="eastAsia" w:eastAsia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 xml:space="preserve">    为进一步落实机关党委2018年深化作风建设整改落实清单、纪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委办公室/监察处《关于梳理“最多跑一次”服务事项清单的通知》和信息化工作办公室《关于加快业务流程网上实现的通知》要求，</w:t>
      </w:r>
      <w:r>
        <w:rPr>
          <w:rFonts w:hint="eastAsia" w:ascii="方正仿宋简体" w:hAnsi="方正仿宋简体" w:eastAsia="方正仿宋简体" w:cs="方正仿宋简体"/>
          <w:sz w:val="21"/>
          <w:szCs w:val="21"/>
        </w:rPr>
        <w:t>让师生少“跑腿”，信息多“跑路”，</w:t>
      </w: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OA系统推出通用审批模块“部门公务处理流程”，以便于校内各单位使用。具体如下：</w:t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“部门公务处理流程”功能：以申请者为核心，选择部门内、部门外审批；以申请者部门领导为核心，选择校领导审批。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990340" cy="4942840"/>
            <wp:effectExtent l="0" t="0" r="1016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4942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串行：可选择多个人员审批，只要有一个批复后，流程返还到申请者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并行：可选择多个人员审批，待所有人员全部审批后，流程返还到申请者</w:t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第一步：点击OA系统“流程审批”下的“流程申请”</w:t>
      </w:r>
    </w:p>
    <w:p>
      <w:pPr>
        <w:jc w:val="center"/>
      </w:pPr>
      <w:r>
        <w:drawing>
          <wp:inline distT="0" distB="0" distL="114300" distR="114300">
            <wp:extent cx="5268595" cy="530860"/>
            <wp:effectExtent l="0" t="0" r="825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第二步：点击“01-部门公务处理流程”的“启动”按钮</w:t>
      </w:r>
    </w:p>
    <w:p>
      <w:pPr>
        <w:jc w:val="center"/>
      </w:pPr>
      <w:r>
        <w:drawing>
          <wp:inline distT="0" distB="0" distL="114300" distR="114300">
            <wp:extent cx="5258435" cy="697865"/>
            <wp:effectExtent l="0" t="0" r="1841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第三步：填写表单，可添加附件</w:t>
      </w: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5272405" cy="3387090"/>
            <wp:effectExtent l="0" t="0" r="444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第四步：点击提交，至发起人开始流转</w:t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第五步：发起者返回OA主页面，在“待办事宜”中点击进入</w:t>
      </w:r>
    </w:p>
    <w:p>
      <w:pPr>
        <w:jc w:val="center"/>
      </w:pPr>
      <w:r>
        <w:drawing>
          <wp:inline distT="0" distB="0" distL="114300" distR="114300">
            <wp:extent cx="5272405" cy="608330"/>
            <wp:effectExtent l="0" t="0" r="444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第六步：点击“提交”，选择不同处理方式（具体见前文名词解释）</w:t>
      </w:r>
    </w:p>
    <w:p>
      <w:pPr>
        <w:jc w:val="center"/>
      </w:pPr>
      <w:r>
        <w:drawing>
          <wp:inline distT="0" distB="0" distL="114300" distR="114300">
            <wp:extent cx="4333240" cy="3256915"/>
            <wp:effectExtent l="0" t="0" r="1016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3256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第七步：以“单位内部审批（串行）”为例，进入后选择办理人，各审批人即可通过OA“待办事宜”查看并批复。</w:t>
      </w:r>
    </w:p>
    <w:p>
      <w:pPr>
        <w:jc w:val="left"/>
        <w:rPr>
          <w:rFonts w:hint="eastAsia"/>
          <w:lang w:val="en-US" w:eastAsia="zh-CN"/>
        </w:rPr>
      </w:pPr>
    </w:p>
    <w:p>
      <w:pPr>
        <w:spacing w:before="156" w:beforeLines="50" w:after="156" w:afterLines="50" w:line="560" w:lineRule="exact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备注：</w:t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任何流程内人员均可通过“流程已办”查看整个审批流程。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904615" cy="1266825"/>
            <wp:effectExtent l="0" t="0" r="63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进入任一流程表单，点击“流程跟踪”。</w:t>
      </w:r>
    </w:p>
    <w:p>
      <w:pPr>
        <w:jc w:val="center"/>
      </w:pPr>
      <w:r>
        <w:drawing>
          <wp:inline distT="0" distB="0" distL="114300" distR="114300">
            <wp:extent cx="5266055" cy="1589405"/>
            <wp:effectExtent l="0" t="0" r="10795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还可以查看“流程跟踪”图例。</w:t>
      </w:r>
    </w:p>
    <w:p>
      <w:p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932815"/>
            <wp:effectExtent l="0" t="0" r="444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560" w:lineRule="exact"/>
        <w:ind w:firstLine="420" w:firstLineChars="20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  <w:t>绿色代表以及流转完成人员，黄色代表目前处理人员。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2555240"/>
            <wp:effectExtent l="0" t="0" r="6985" b="165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95B1B"/>
    <w:rsid w:val="2A3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晴空飘雨</cp:lastModifiedBy>
  <dcterms:modified xsi:type="dcterms:W3CDTF">2018-06-14T08:30:28Z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