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auto"/>
          <w:position w:val="0"/>
          <w:sz w:val="21"/>
          <w:szCs w:val="21"/>
          <w:rFonts w:ascii="宋体" w:eastAsia="仿宋" w:hAnsi="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仿宋" w:hAnsi="仿宋" w:hint="default"/>
        </w:rPr>
        <w:t>附件3：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color w:val="auto"/>
          <w:position w:val="0"/>
          <w:sz w:val="21"/>
          <w:szCs w:val="21"/>
          <w:rFonts w:ascii="宋体" w:eastAsia="仿宋" w:hAnsi="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仿宋" w:hAnsi="仿宋" w:hint="default"/>
        </w:rPr>
        <w:t>一、A15、A16、A17公寓开水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器</w:t>
      </w:r>
      <w:r>
        <w:rPr>
          <w:color w:val="auto"/>
          <w:position w:val="0"/>
          <w:sz w:val="21"/>
          <w:szCs w:val="21"/>
          <w:rFonts w:ascii="宋体" w:eastAsia="仿宋" w:hAnsi="仿宋" w:hint="default"/>
        </w:rPr>
        <w:t>80台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参数配置：1、开水机功率12KW；出水量：120L。2、机器尺寸：51cm*28cm*89cm，底座尺寸：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58cm*48cm*52cm整机采用黑钛金304不锈钢板材。3、进水方式：步进式，进水时不加热,加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热时不进水，水不开不出水。4、加热系统：加热管为纯紫铜材质，保证加热速度；两套独立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系统双驱供电；上下水位控制采用304不锈钢浮球开关控制，浮球承受瞬间电流达2A以上；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内胆：双排气排水系统，保证加热时产生的压力及溢流水及时排出，进水口需有挡板对冷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水进行缓冲，防止冷热水混合。5、进水电磁阀：需具备减压及控制流速功能；保温：发泡保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温。6、水龙头：左右旋转式龙头，禁止提拉式龙头。7、控制系统：采用交流接触器控制。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二、化工大楼及创科大厦全自动电热开水器72台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参数配置：1、额定功率：9KW；电源：380V交流电。2、容积80L，连续供开水量≥80升，两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次供水中间间隔加热时间少于10分钟。3、程控恒温出水，100%纯开水，避免“千沸水”问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题。4、采用步进水逐层加热技术，具有显著节能降耗的功能。5、有断电保护、断水保护、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超压保护、漏电保护、超高温保护功能，内胆与外壳之间要有绝缘、阻燃及保温层。6、有烧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 xml:space="preserve">水状态有提示指示灯，封闭式水箱，防蒸汽外漏，防投毒； 另须配备安装不锈钢机架。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三、供应商要求：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报价包括了所有货物和附件的制造、采购、包装、税费、运输、保险和技术服务（包括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技术资料、图纸的提供）以及相关安装、培训、调试、验收、质保期保障等的全部费用。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如报价人为经销商须提供生产厂家针对本项目的销售授权书。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开水器品牌须提供：⑴有质量技术监督局发放的全国工业生产许可证；⑵提供ISO9001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质量理体系认证证书；⑶中国质量认证中心发放的CQC产品认证证书及节能产品认证证书。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⑷提供涉及饮用水安全产品卫生许可批件。⑸产品的主要部件内胆、电热管具有省级及以上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卫生部门出具的卫生安全检测报告。⑹提供与水接触的主要设备配件（如电热管、内胆、水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槽等）304食品级不锈钢材质的检验报告。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售后服务：1年免费包换，3年免费包修。要求本地服务2小时内到达现场，1小时内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 xml:space="preserve">排除故障； 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供应商提供所需安装的辅材及水暖管线、电线线缆等线材并负责安装（供应商可以提前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勘察场地）。提供设备质保期内免费清洗服务，本次采购不再另行追加预算，如有超出部分</w:t>
      </w: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供应商自行承担。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提供厂家针对此项目的售后服务承诺函原件。</w:t>
      </w:r>
    </w:p>
    <w:p>
      <w:pPr>
        <w:numPr>
          <w:ilvl w:val="0"/>
          <w:numId w:val="2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t>投标人需在本地有销售或服务网点及产品备件库，提供证明材料。</w:t>
      </w: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0"/>
        <w:rPr>
          <w:spacing w:val="0"/>
          <w:color w:val="auto"/>
          <w:position w:val="0"/>
          <w:sz w:val="21"/>
          <w:szCs w:val="21"/>
          <w:smallCaps w:val="0"/>
          <w:rFonts w:ascii="宋体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160"/>
        <w:ind w:right="0" w:firstLine="411"/>
        <w:rPr>
          <w:color w:val="auto"/>
          <w:position w:val="0"/>
          <w:sz w:val="21"/>
          <w:szCs w:val="21"/>
          <w:rFonts w:ascii="宋体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200"/>
        <w:ind w:right="0" w:firstLine="0"/>
        <w:rPr>
          <w:spacing w:val="0"/>
          <w:color w:val="auto"/>
          <w:position w:val="0"/>
          <w:sz w:val="22"/>
          <w:szCs w:val="22"/>
          <w:smallCaps w:val="0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1"/>
        <w:szCs w:val="21"/>
        <w:u w:val="none"/>
        <w:w w:val="100"/>
      </w:rPr>
      <w:lvlText w:val="%1、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3"/>
      <w:suff w:val="nothing"/>
      <w:rPr>
        <w:rFonts w:ascii="宋体" w:eastAsia="Times New Roman" w:hAnsi="宋体"/>
        <w:shd w:val="clear"/>
        <w:sz w:val="20"/>
        <w:szCs w:val="20"/>
        <w:u w:val="none"/>
        <w:w w:val="100"/>
      </w:rPr>
      <w:lvlText w:val="%1、"/>
    </w:lvl>
    <w:lvl w:ilvl="1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3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nothing"/>
      <w:rPr>
        <w:color w:val="000000"/>
        <w:rFonts w:ascii="宋体" w:eastAsia="宋体" w:hAnsi="宋体"/>
        <w:shd w:val="clear"/>
        <w:sz w:val="22"/>
        <w:szCs w:val="22"/>
        <w:u w:val="none"/>
        <w:w w:val="100"/>
      </w:rPr>
      <w:lvlText w:val="%1、"/>
    </w:lvl>
    <w:lvl w:ilvl="1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2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3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4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5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6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7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  <w:lvl w:ilvl="8">
      <w:lvlJc w:val="left"/>
      <w:numFmt w:val="decimal"/>
      <w:start w:val="1"/>
      <w:suff w:val="nothing"/>
      <w:rPr>
        <w:rFonts w:ascii="宋体" w:eastAsia="宋体" w:hAnsi="宋体"/>
        <w:shd w:val="clear"/>
        <w:sz w:val="20"/>
        <w:szCs w:val="20"/>
        <w:w w:val="100"/>
      </w:rPr>
      <w:lvlText w:val="%1、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2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2008-09-11T17:21:00Z</dcterms:modified>
</cp:coreProperties>
</file>