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鼎大标宋简" w:hAnsi="华文中宋" w:eastAsia="文鼎大标宋简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附件2</w:t>
      </w:r>
    </w:p>
    <w:p>
      <w:pPr>
        <w:snapToGrid w:val="0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val="en-US" w:eastAsia="zh-CN"/>
        </w:rPr>
        <w:t>哈工大“卓越杯”青年教师教学竞赛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课堂教学评分细则</w:t>
      </w:r>
    </w:p>
    <w:p>
      <w:pPr>
        <w:spacing w:line="480" w:lineRule="exact"/>
        <w:jc w:val="center"/>
        <w:rPr>
          <w:rFonts w:hint="eastAsia" w:ascii="黑体" w:hAnsi="宋体" w:eastAsia="黑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（满分75分）</w:t>
      </w:r>
    </w:p>
    <w:tbl>
      <w:tblPr>
        <w:tblStyle w:val="4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课堂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贯彻立德树人的具体要求,突出课堂德育。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语言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特色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rPr>
          <w:rFonts w:hint="eastAsia" w:ascii="黑体" w:hAnsi="黑体" w:eastAsia="黑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34789"/>
    <w:rsid w:val="49870208"/>
    <w:rsid w:val="7EE3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2020-06-20T04:43:07Z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