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spacing w:before="0" w:after="0"/>
        <w:ind w:left="210" w:right="210"/>
        <w:rPr>
          <w:rFonts w:hint="default" w:ascii="Calibri" w:hAnsi="Calibri" w:eastAsia="黑体"/>
          <w:b w:val="0"/>
          <w:bCs/>
          <w:color w:val="auto"/>
          <w:sz w:val="44"/>
          <w:szCs w:val="44"/>
          <w:highlight w:val="none"/>
        </w:rPr>
      </w:pPr>
      <w:r>
        <w:rPr>
          <w:rFonts w:hint="default" w:ascii="Calibri" w:hAnsi="Calibri" w:eastAsia="黑体"/>
          <w:b w:val="0"/>
          <w:bCs/>
          <w:color w:val="auto"/>
          <w:sz w:val="44"/>
          <w:szCs w:val="44"/>
          <w:highlight w:val="none"/>
        </w:rPr>
        <w:t>采购人需求</w:t>
      </w:r>
      <w:r>
        <w:rPr>
          <w:rFonts w:hint="default" w:ascii="Calibri" w:hAnsi="Calibri" w:eastAsia="黑体"/>
          <w:b w:val="0"/>
          <w:bCs/>
          <w:color w:val="auto"/>
          <w:sz w:val="44"/>
          <w:szCs w:val="44"/>
          <w:highlight w:val="none"/>
        </w:rPr>
        <w:tab/>
      </w:r>
    </w:p>
    <w:p>
      <w:pPr>
        <w:numPr>
          <w:ilvl w:val="0"/>
          <w:numId w:val="1"/>
        </w:numPr>
        <w:spacing w:line="341" w:lineRule="auto"/>
        <w:rPr>
          <w:b/>
          <w:color w:val="auto"/>
          <w:sz w:val="24"/>
          <w:highlight w:val="none"/>
        </w:rPr>
      </w:pPr>
      <w:bookmarkStart w:id="0" w:name="_Toc65593627"/>
      <w:bookmarkStart w:id="1" w:name="_Toc351466512"/>
      <w:r>
        <w:rPr>
          <w:b/>
          <w:color w:val="auto"/>
          <w:sz w:val="24"/>
          <w:highlight w:val="none"/>
        </w:rPr>
        <w:t>采购原因</w:t>
      </w:r>
    </w:p>
    <w:p>
      <w:pPr>
        <w:spacing w:line="341" w:lineRule="auto"/>
        <w:ind w:firstLine="480" w:firstLineChars="200"/>
        <w:rPr>
          <w:color w:val="auto"/>
          <w:sz w:val="24"/>
          <w:highlight w:val="none"/>
        </w:rPr>
      </w:pPr>
      <w:r>
        <w:rPr>
          <w:color w:val="auto"/>
          <w:sz w:val="24"/>
          <w:highlight w:val="none"/>
        </w:rPr>
        <w:t>为更好地为全校广大师生员工提供优质的餐饮服务，加大从源头采购商品的力度，减少中间流通环节，提升食品安全，降低大宗商品采购价格，优化饮食原材料供应商结构。根据国家招标采购相关文件精神，哈尔滨工业大学</w:t>
      </w:r>
      <w:r>
        <w:rPr>
          <w:rFonts w:hint="eastAsia"/>
          <w:color w:val="auto"/>
          <w:sz w:val="24"/>
          <w:highlight w:val="none"/>
        </w:rPr>
        <w:t>后勤集团</w:t>
      </w:r>
      <w:r>
        <w:rPr>
          <w:color w:val="auto"/>
          <w:sz w:val="24"/>
          <w:highlight w:val="none"/>
        </w:rPr>
        <w:t>将对饮食原材料采购进行公开招标。</w:t>
      </w:r>
    </w:p>
    <w:p>
      <w:pPr>
        <w:numPr>
          <w:ilvl w:val="0"/>
          <w:numId w:val="1"/>
        </w:numPr>
        <w:spacing w:line="341" w:lineRule="auto"/>
        <w:rPr>
          <w:b/>
          <w:color w:val="auto"/>
          <w:sz w:val="24"/>
          <w:highlight w:val="none"/>
        </w:rPr>
      </w:pPr>
      <w:r>
        <w:rPr>
          <w:b/>
          <w:color w:val="auto"/>
          <w:sz w:val="24"/>
          <w:highlight w:val="none"/>
        </w:rPr>
        <w:t>采购数量</w:t>
      </w:r>
      <w:r>
        <w:rPr>
          <w:rFonts w:hint="eastAsia"/>
          <w:b/>
          <w:color w:val="auto"/>
          <w:sz w:val="24"/>
          <w:highlight w:val="none"/>
        </w:rPr>
        <w:t>及预算</w:t>
      </w:r>
      <w:bookmarkStart w:id="2" w:name="_GoBack"/>
      <w:bookmarkEnd w:id="2"/>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鸡蛋</w:t>
      </w:r>
      <w:r>
        <w:rPr>
          <w:rFonts w:hint="eastAsia" w:ascii="宋体" w:hAnsi="宋体"/>
          <w:color w:val="auto"/>
          <w:sz w:val="24"/>
          <w:highlight w:val="none"/>
        </w:rPr>
        <w:t>：约</w:t>
      </w:r>
      <w:r>
        <w:rPr>
          <w:rFonts w:hint="eastAsia" w:ascii="宋体" w:hAnsi="宋体"/>
          <w:color w:val="auto"/>
          <w:sz w:val="24"/>
          <w:highlight w:val="none"/>
          <w:lang w:val="en-US" w:eastAsia="zh-CN"/>
        </w:rPr>
        <w:t>9.3</w:t>
      </w:r>
      <w:r>
        <w:rPr>
          <w:rFonts w:hint="eastAsia" w:ascii="宋体" w:hAnsi="宋体"/>
          <w:color w:val="auto"/>
          <w:sz w:val="24"/>
          <w:highlight w:val="none"/>
        </w:rPr>
        <w:t>万公斤</w:t>
      </w:r>
      <w:r>
        <w:rPr>
          <w:rFonts w:hint="eastAsia" w:ascii="宋体" w:hAnsi="宋体"/>
          <w:color w:val="auto"/>
          <w:sz w:val="24"/>
          <w:highlight w:val="none"/>
          <w:lang w:eastAsia="zh-CN"/>
        </w:rPr>
        <w:t>，约</w:t>
      </w:r>
      <w:r>
        <w:rPr>
          <w:rFonts w:hint="eastAsia" w:ascii="宋体" w:hAnsi="宋体"/>
          <w:color w:val="auto"/>
          <w:sz w:val="24"/>
          <w:highlight w:val="none"/>
          <w:lang w:val="en-US" w:eastAsia="zh-CN"/>
        </w:rPr>
        <w:t>98万元。</w:t>
      </w:r>
      <w:r>
        <w:rPr>
          <w:rFonts w:hint="eastAsia" w:ascii="宋体" w:hAnsi="宋体"/>
          <w:color w:val="auto"/>
          <w:sz w:val="24"/>
          <w:highlight w:val="none"/>
        </w:rPr>
        <w:t>          </w:t>
      </w:r>
    </w:p>
    <w:p>
      <w:pPr>
        <w:widowControl/>
        <w:numPr>
          <w:ilvl w:val="0"/>
          <w:numId w:val="1"/>
        </w:numPr>
        <w:adjustRightInd w:val="0"/>
        <w:snapToGrid w:val="0"/>
        <w:spacing w:line="360" w:lineRule="auto"/>
        <w:jc w:val="left"/>
        <w:rPr>
          <w:b/>
          <w:color w:val="auto"/>
          <w:sz w:val="24"/>
          <w:highlight w:val="none"/>
        </w:rPr>
      </w:pPr>
      <w:r>
        <w:rPr>
          <w:b/>
          <w:color w:val="auto"/>
          <w:sz w:val="24"/>
          <w:highlight w:val="none"/>
        </w:rPr>
        <w:t>品类及技术要求：</w:t>
      </w:r>
    </w:p>
    <w:p>
      <w:pPr>
        <w:pStyle w:val="2"/>
        <w:numPr>
          <w:ilvl w:val="0"/>
          <w:numId w:val="2"/>
        </w:numPr>
        <w:jc w:val="left"/>
        <w:rPr>
          <w:rFonts w:ascii="宋体" w:hAnsi="宋体"/>
          <w:b/>
          <w:color w:val="auto"/>
          <w:szCs w:val="24"/>
          <w:highlight w:val="none"/>
        </w:rPr>
      </w:pPr>
      <w:r>
        <w:rPr>
          <w:rFonts w:ascii="宋体" w:hAnsi="宋体"/>
          <w:b/>
          <w:color w:val="auto"/>
          <w:szCs w:val="24"/>
          <w:highlight w:val="none"/>
        </w:rPr>
        <w:t>鸡蛋</w:t>
      </w:r>
    </w:p>
    <w:tbl>
      <w:tblPr>
        <w:tblStyle w:val="5"/>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15"/>
        <w:gridCol w:w="1620"/>
        <w:gridCol w:w="1470"/>
        <w:gridCol w:w="1365"/>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noWrap/>
            <w:vAlign w:val="center"/>
          </w:tcPr>
          <w:p>
            <w:pPr>
              <w:spacing w:line="400" w:lineRule="exact"/>
              <w:jc w:val="center"/>
              <w:rPr>
                <w:rFonts w:ascii="宋体"/>
                <w:b/>
                <w:bCs/>
                <w:color w:val="auto"/>
                <w:szCs w:val="21"/>
                <w:highlight w:val="none"/>
              </w:rPr>
            </w:pPr>
            <w:r>
              <w:rPr>
                <w:rFonts w:hint="eastAsia" w:ascii="宋体"/>
                <w:b/>
                <w:bCs/>
                <w:color w:val="auto"/>
                <w:szCs w:val="21"/>
                <w:highlight w:val="none"/>
              </w:rPr>
              <w:t>序号</w:t>
            </w:r>
          </w:p>
        </w:tc>
        <w:tc>
          <w:tcPr>
            <w:tcW w:w="1115" w:type="dxa"/>
            <w:noWrap/>
            <w:vAlign w:val="center"/>
          </w:tcPr>
          <w:p>
            <w:pPr>
              <w:spacing w:line="400" w:lineRule="exact"/>
              <w:jc w:val="center"/>
              <w:rPr>
                <w:rFonts w:ascii="宋体"/>
                <w:b/>
                <w:bCs/>
                <w:color w:val="auto"/>
                <w:szCs w:val="21"/>
                <w:highlight w:val="none"/>
              </w:rPr>
            </w:pPr>
            <w:r>
              <w:rPr>
                <w:rFonts w:hint="eastAsia" w:ascii="宋体"/>
                <w:b/>
                <w:bCs/>
                <w:color w:val="auto"/>
                <w:szCs w:val="21"/>
                <w:highlight w:val="none"/>
              </w:rPr>
              <w:t>品名</w:t>
            </w:r>
          </w:p>
        </w:tc>
        <w:tc>
          <w:tcPr>
            <w:tcW w:w="1620" w:type="dxa"/>
            <w:noWrap/>
            <w:vAlign w:val="center"/>
          </w:tcPr>
          <w:p>
            <w:pPr>
              <w:spacing w:line="400" w:lineRule="exact"/>
              <w:jc w:val="center"/>
              <w:rPr>
                <w:rFonts w:ascii="宋体"/>
                <w:b/>
                <w:bCs/>
                <w:color w:val="auto"/>
                <w:szCs w:val="21"/>
                <w:highlight w:val="none"/>
              </w:rPr>
            </w:pPr>
            <w:r>
              <w:rPr>
                <w:rFonts w:hint="eastAsia" w:ascii="宋体"/>
                <w:b/>
                <w:bCs/>
                <w:color w:val="auto"/>
                <w:szCs w:val="21"/>
                <w:highlight w:val="none"/>
              </w:rPr>
              <w:t>标准</w:t>
            </w:r>
          </w:p>
        </w:tc>
        <w:tc>
          <w:tcPr>
            <w:tcW w:w="1470" w:type="dxa"/>
            <w:noWrap/>
            <w:vAlign w:val="center"/>
          </w:tcPr>
          <w:p>
            <w:pPr>
              <w:spacing w:line="400" w:lineRule="exact"/>
              <w:jc w:val="center"/>
              <w:rPr>
                <w:rFonts w:ascii="宋体"/>
                <w:b/>
                <w:bCs/>
                <w:color w:val="auto"/>
                <w:szCs w:val="21"/>
                <w:highlight w:val="none"/>
              </w:rPr>
            </w:pPr>
            <w:r>
              <w:rPr>
                <w:rFonts w:hint="eastAsia" w:ascii="宋体"/>
                <w:b/>
                <w:bCs/>
                <w:color w:val="auto"/>
                <w:szCs w:val="21"/>
                <w:highlight w:val="none"/>
              </w:rPr>
              <w:t>参考采购量（余万公斤）</w:t>
            </w:r>
          </w:p>
        </w:tc>
        <w:tc>
          <w:tcPr>
            <w:tcW w:w="1365" w:type="dxa"/>
            <w:noWrap/>
            <w:vAlign w:val="center"/>
          </w:tcPr>
          <w:p>
            <w:pPr>
              <w:spacing w:line="400" w:lineRule="exact"/>
              <w:jc w:val="center"/>
              <w:rPr>
                <w:rFonts w:ascii="宋体"/>
                <w:b/>
                <w:bCs/>
                <w:color w:val="auto"/>
                <w:szCs w:val="21"/>
                <w:highlight w:val="none"/>
              </w:rPr>
            </w:pPr>
            <w:r>
              <w:rPr>
                <w:rFonts w:hint="eastAsia" w:ascii="宋体"/>
                <w:b/>
                <w:bCs/>
                <w:color w:val="auto"/>
                <w:szCs w:val="21"/>
                <w:highlight w:val="none"/>
              </w:rPr>
              <w:t>规格</w:t>
            </w:r>
          </w:p>
        </w:tc>
        <w:tc>
          <w:tcPr>
            <w:tcW w:w="2612" w:type="dxa"/>
            <w:noWrap/>
            <w:vAlign w:val="center"/>
          </w:tcPr>
          <w:p>
            <w:pPr>
              <w:spacing w:line="400" w:lineRule="exact"/>
              <w:jc w:val="center"/>
              <w:rPr>
                <w:rFonts w:ascii="宋体"/>
                <w:b/>
                <w:bCs/>
                <w:color w:val="auto"/>
                <w:szCs w:val="21"/>
                <w:highlight w:val="none"/>
              </w:rPr>
            </w:pPr>
            <w:r>
              <w:rPr>
                <w:rFonts w:hint="eastAsia" w:ascii="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1" w:type="dxa"/>
            <w:noWrap/>
            <w:vAlign w:val="center"/>
          </w:tcPr>
          <w:p>
            <w:pPr>
              <w:spacing w:line="560" w:lineRule="exact"/>
              <w:jc w:val="center"/>
              <w:rPr>
                <w:color w:val="auto"/>
                <w:szCs w:val="21"/>
                <w:highlight w:val="none"/>
              </w:rPr>
            </w:pPr>
            <w:r>
              <w:rPr>
                <w:color w:val="auto"/>
                <w:szCs w:val="21"/>
                <w:highlight w:val="none"/>
              </w:rPr>
              <w:t>1</w:t>
            </w:r>
          </w:p>
        </w:tc>
        <w:tc>
          <w:tcPr>
            <w:tcW w:w="1115" w:type="dxa"/>
            <w:noWrap/>
            <w:vAlign w:val="center"/>
          </w:tcPr>
          <w:p>
            <w:pPr>
              <w:spacing w:line="560" w:lineRule="exact"/>
              <w:jc w:val="center"/>
              <w:rPr>
                <w:color w:val="auto"/>
                <w:szCs w:val="21"/>
                <w:highlight w:val="none"/>
              </w:rPr>
            </w:pPr>
            <w:r>
              <w:rPr>
                <w:color w:val="auto"/>
                <w:szCs w:val="21"/>
                <w:highlight w:val="none"/>
              </w:rPr>
              <w:t>鸡蛋</w:t>
            </w:r>
          </w:p>
        </w:tc>
        <w:tc>
          <w:tcPr>
            <w:tcW w:w="1620" w:type="dxa"/>
            <w:noWrap/>
            <w:vAlign w:val="center"/>
          </w:tcPr>
          <w:p>
            <w:pPr>
              <w:spacing w:line="560" w:lineRule="exact"/>
              <w:jc w:val="center"/>
              <w:rPr>
                <w:color w:val="auto"/>
                <w:szCs w:val="21"/>
                <w:highlight w:val="none"/>
              </w:rPr>
            </w:pPr>
            <w:r>
              <w:rPr>
                <w:rFonts w:hint="eastAsia"/>
                <w:color w:val="auto"/>
                <w:szCs w:val="21"/>
                <w:highlight w:val="none"/>
              </w:rPr>
              <w:t>GB2749</w:t>
            </w:r>
          </w:p>
        </w:tc>
        <w:tc>
          <w:tcPr>
            <w:tcW w:w="1470" w:type="dxa"/>
            <w:noWrap/>
            <w:vAlign w:val="center"/>
          </w:tcPr>
          <w:p>
            <w:pPr>
              <w:spacing w:line="560" w:lineRule="exact"/>
              <w:jc w:val="center"/>
              <w:rPr>
                <w:rFonts w:hint="default" w:eastAsia="宋体"/>
                <w:color w:val="auto"/>
                <w:szCs w:val="21"/>
                <w:highlight w:val="none"/>
                <w:lang w:val="en-US" w:eastAsia="zh-CN"/>
              </w:rPr>
            </w:pPr>
            <w:r>
              <w:rPr>
                <w:rFonts w:hint="eastAsia"/>
                <w:color w:val="auto"/>
                <w:szCs w:val="21"/>
                <w:highlight w:val="none"/>
                <w:lang w:val="en-US" w:eastAsia="zh-CN"/>
              </w:rPr>
              <w:t>9.3</w:t>
            </w:r>
          </w:p>
        </w:tc>
        <w:tc>
          <w:tcPr>
            <w:tcW w:w="1365" w:type="dxa"/>
            <w:noWrap/>
            <w:vAlign w:val="center"/>
          </w:tcPr>
          <w:p>
            <w:pPr>
              <w:spacing w:line="560" w:lineRule="exact"/>
              <w:jc w:val="center"/>
              <w:rPr>
                <w:color w:val="auto"/>
                <w:szCs w:val="21"/>
                <w:highlight w:val="none"/>
              </w:rPr>
            </w:pPr>
            <w:r>
              <w:rPr>
                <w:rFonts w:hint="eastAsia"/>
                <w:color w:val="auto"/>
                <w:szCs w:val="21"/>
                <w:highlight w:val="none"/>
              </w:rPr>
              <w:t>15</w:t>
            </w:r>
            <w:r>
              <w:rPr>
                <w:color w:val="auto"/>
                <w:szCs w:val="21"/>
                <w:highlight w:val="none"/>
              </w:rPr>
              <w:t>kg</w:t>
            </w:r>
          </w:p>
        </w:tc>
        <w:tc>
          <w:tcPr>
            <w:tcW w:w="2612" w:type="dxa"/>
            <w:noWrap/>
            <w:vAlign w:val="center"/>
          </w:tcPr>
          <w:p>
            <w:pPr>
              <w:spacing w:line="560" w:lineRule="exact"/>
              <w:jc w:val="left"/>
              <w:rPr>
                <w:color w:val="auto"/>
                <w:szCs w:val="21"/>
                <w:highlight w:val="none"/>
              </w:rPr>
            </w:pPr>
            <w:r>
              <w:rPr>
                <w:rFonts w:hint="eastAsia"/>
                <w:color w:val="auto"/>
                <w:szCs w:val="21"/>
                <w:highlight w:val="none"/>
              </w:rPr>
              <w:t>无抗生素、无公害；铅、镉含量</w:t>
            </w:r>
            <w:r>
              <w:rPr>
                <w:rFonts w:hint="eastAsia"/>
                <w:color w:val="auto"/>
                <w:szCs w:val="21"/>
                <w:highlight w:val="none"/>
                <w:lang w:eastAsia="zh-CN"/>
              </w:rPr>
              <w:t>、药残检测</w:t>
            </w:r>
            <w:r>
              <w:rPr>
                <w:rFonts w:hint="eastAsia"/>
                <w:color w:val="auto"/>
                <w:szCs w:val="21"/>
                <w:highlight w:val="none"/>
              </w:rPr>
              <w:t>不得超过国家限定标准</w:t>
            </w:r>
          </w:p>
        </w:tc>
      </w:tr>
    </w:tbl>
    <w:p>
      <w:pPr>
        <w:pStyle w:val="9"/>
        <w:numPr>
          <w:ilvl w:val="0"/>
          <w:numId w:val="1"/>
        </w:numPr>
        <w:spacing w:line="341" w:lineRule="auto"/>
        <w:ind w:firstLineChars="0"/>
        <w:rPr>
          <w:b/>
          <w:color w:val="auto"/>
          <w:sz w:val="24"/>
          <w:highlight w:val="none"/>
        </w:rPr>
      </w:pPr>
      <w:r>
        <w:rPr>
          <w:b/>
          <w:color w:val="auto"/>
          <w:sz w:val="24"/>
          <w:highlight w:val="none"/>
        </w:rPr>
        <w:t>要求：</w:t>
      </w:r>
    </w:p>
    <w:p>
      <w:pPr>
        <w:spacing w:line="341" w:lineRule="auto"/>
        <w:ind w:firstLine="480" w:firstLineChars="200"/>
        <w:rPr>
          <w:rFonts w:hint="default"/>
          <w:color w:val="auto"/>
          <w:sz w:val="24"/>
          <w:highlight w:val="none"/>
          <w:lang w:val="en-US" w:eastAsia="zh-CN"/>
        </w:rPr>
      </w:pPr>
      <w:r>
        <w:rPr>
          <w:color w:val="auto"/>
          <w:sz w:val="24"/>
          <w:highlight w:val="none"/>
        </w:rPr>
        <w:t>1</w:t>
      </w:r>
      <w:r>
        <w:rPr>
          <w:rFonts w:hint="eastAsia"/>
          <w:color w:val="auto"/>
          <w:sz w:val="24"/>
          <w:highlight w:val="none"/>
        </w:rPr>
        <w:t>、协议期内向订购的产品，其数量应根据采购人需要分次供应，</w:t>
      </w:r>
      <w:r>
        <w:rPr>
          <w:rFonts w:hint="eastAsia"/>
          <w:color w:val="auto"/>
          <w:sz w:val="24"/>
          <w:highlight w:val="none"/>
          <w:lang w:eastAsia="zh-CN"/>
        </w:rPr>
        <w:t>供货时间截止到</w:t>
      </w:r>
      <w:r>
        <w:rPr>
          <w:rFonts w:hint="eastAsia"/>
          <w:color w:val="auto"/>
          <w:sz w:val="24"/>
          <w:highlight w:val="none"/>
          <w:lang w:val="en-US" w:eastAsia="zh-CN"/>
        </w:rPr>
        <w:t>2023年12月11日，</w:t>
      </w:r>
      <w:r>
        <w:rPr>
          <w:rFonts w:hint="eastAsia"/>
          <w:color w:val="auto"/>
          <w:sz w:val="24"/>
          <w:highlight w:val="none"/>
        </w:rPr>
        <w:t>每次供货数量以订单为准。</w:t>
      </w:r>
    </w:p>
    <w:p>
      <w:pPr>
        <w:spacing w:line="341" w:lineRule="auto"/>
        <w:ind w:firstLine="480" w:firstLineChars="200"/>
        <w:rPr>
          <w:color w:val="auto"/>
          <w:sz w:val="24"/>
          <w:highlight w:val="none"/>
        </w:rPr>
      </w:pPr>
      <w:r>
        <w:rPr>
          <w:color w:val="auto"/>
          <w:sz w:val="24"/>
          <w:highlight w:val="none"/>
        </w:rPr>
        <w:t>2</w:t>
      </w:r>
      <w:r>
        <w:rPr>
          <w:rFonts w:hint="eastAsia"/>
          <w:color w:val="auto"/>
          <w:sz w:val="24"/>
          <w:highlight w:val="none"/>
        </w:rPr>
        <w:t>、不得提供临近保质期和超过保质期的原料，有效期应在产品出厂日期至保质期的二分之一时间范围内。</w:t>
      </w:r>
    </w:p>
    <w:p>
      <w:pPr>
        <w:spacing w:line="341" w:lineRule="auto"/>
        <w:ind w:firstLine="480" w:firstLineChars="200"/>
        <w:rPr>
          <w:color w:val="auto"/>
          <w:sz w:val="24"/>
          <w:highlight w:val="none"/>
        </w:rPr>
      </w:pPr>
      <w:r>
        <w:rPr>
          <w:color w:val="auto"/>
          <w:sz w:val="24"/>
          <w:highlight w:val="none"/>
        </w:rPr>
        <w:t>3</w:t>
      </w:r>
      <w:r>
        <w:rPr>
          <w:rFonts w:hint="eastAsia"/>
          <w:color w:val="auto"/>
          <w:sz w:val="24"/>
          <w:highlight w:val="none"/>
        </w:rPr>
        <w:t>、提供的产品应符合国家质量、食品卫生、食品安全标准和食品检验标准，并提供具有官方资质的相关检验部门出具的检疫或质量检验报告单。</w:t>
      </w:r>
    </w:p>
    <w:p>
      <w:pPr>
        <w:spacing w:line="341" w:lineRule="auto"/>
        <w:ind w:firstLine="240" w:firstLineChars="100"/>
        <w:rPr>
          <w:color w:val="auto"/>
          <w:sz w:val="24"/>
          <w:highlight w:val="none"/>
        </w:rPr>
      </w:pPr>
      <w:r>
        <w:rPr>
          <w:color w:val="auto"/>
          <w:sz w:val="24"/>
          <w:highlight w:val="none"/>
        </w:rPr>
        <w:t xml:space="preserve"> 4</w:t>
      </w:r>
      <w:r>
        <w:rPr>
          <w:rFonts w:hint="eastAsia"/>
          <w:color w:val="auto"/>
          <w:sz w:val="24"/>
          <w:highlight w:val="none"/>
        </w:rPr>
        <w:t>、提供的产品必须符合《食品安全法》、《食品安全法实施条例》、《餐饮服务食品安全监督管理办法》及国务院办公厅《关于严厉打击食品非法添加行为切实加强食品添加剂监管的通知》等及其他相关法律法规要求，并保证所供应的产品不存在非法添加和滥用食品添加剂及食品添加剂超标的行为。</w:t>
      </w:r>
    </w:p>
    <w:p>
      <w:pPr>
        <w:spacing w:line="341" w:lineRule="auto"/>
        <w:rPr>
          <w:b/>
          <w:color w:val="auto"/>
          <w:sz w:val="24"/>
          <w:highlight w:val="none"/>
        </w:rPr>
      </w:pPr>
      <w:r>
        <w:rPr>
          <w:b/>
          <w:color w:val="auto"/>
          <w:sz w:val="24"/>
          <w:highlight w:val="none"/>
        </w:rPr>
        <w:t>五、售后及服务</w:t>
      </w:r>
    </w:p>
    <w:p>
      <w:pPr>
        <w:spacing w:line="341" w:lineRule="auto"/>
        <w:ind w:firstLine="480" w:firstLineChars="200"/>
        <w:rPr>
          <w:rFonts w:hint="eastAsia"/>
          <w:color w:val="auto"/>
          <w:sz w:val="24"/>
          <w:highlight w:val="none"/>
        </w:rPr>
      </w:pPr>
      <w:r>
        <w:rPr>
          <w:rFonts w:hint="eastAsia"/>
          <w:color w:val="auto"/>
          <w:sz w:val="24"/>
          <w:highlight w:val="none"/>
        </w:rPr>
        <w:t>1、能够准确提供本项目售后服务总负责人的姓名、职务、详细地址和联系方式。</w:t>
      </w:r>
    </w:p>
    <w:p>
      <w:pPr>
        <w:spacing w:line="341" w:lineRule="auto"/>
        <w:ind w:firstLine="480" w:firstLineChars="200"/>
        <w:rPr>
          <w:rFonts w:hint="eastAsia"/>
          <w:color w:val="auto"/>
          <w:sz w:val="24"/>
          <w:highlight w:val="none"/>
        </w:rPr>
      </w:pPr>
      <w:r>
        <w:rPr>
          <w:rFonts w:hint="eastAsia"/>
          <w:color w:val="auto"/>
          <w:sz w:val="24"/>
          <w:highlight w:val="none"/>
        </w:rPr>
        <w:t>2、能够准确提供投标人在供货地点城市的本地化服务机构（及售后服务网点明细）及相关证明材料。</w:t>
      </w:r>
    </w:p>
    <w:p>
      <w:pPr>
        <w:spacing w:line="341" w:lineRule="auto"/>
        <w:ind w:firstLine="480" w:firstLineChars="200"/>
        <w:rPr>
          <w:rFonts w:hint="eastAsia"/>
          <w:color w:val="auto"/>
          <w:sz w:val="24"/>
          <w:highlight w:val="none"/>
        </w:rPr>
      </w:pPr>
      <w:r>
        <w:rPr>
          <w:rFonts w:hint="eastAsia"/>
          <w:color w:val="auto"/>
          <w:sz w:val="24"/>
          <w:highlight w:val="none"/>
        </w:rPr>
        <w:t>3、承诺货物在质保期内因产品质量问题免费更换。</w:t>
      </w:r>
    </w:p>
    <w:p>
      <w:pPr>
        <w:spacing w:line="341" w:lineRule="auto"/>
        <w:ind w:firstLine="480" w:firstLineChars="200"/>
        <w:rPr>
          <w:rFonts w:hint="eastAsia"/>
          <w:color w:val="auto"/>
          <w:sz w:val="24"/>
          <w:highlight w:val="none"/>
        </w:rPr>
      </w:pPr>
      <w:r>
        <w:rPr>
          <w:rFonts w:hint="eastAsia"/>
          <w:color w:val="auto"/>
          <w:sz w:val="24"/>
          <w:highlight w:val="none"/>
        </w:rPr>
        <w:t>4、</w:t>
      </w:r>
      <w:r>
        <w:rPr>
          <w:rFonts w:hint="eastAsia"/>
          <w:color w:val="auto"/>
          <w:sz w:val="24"/>
          <w:highlight w:val="none"/>
          <w:lang w:eastAsia="zh-CN"/>
        </w:rPr>
        <w:t>承诺</w:t>
      </w:r>
      <w:r>
        <w:rPr>
          <w:rFonts w:hint="eastAsia"/>
          <w:color w:val="auto"/>
          <w:sz w:val="24"/>
          <w:highlight w:val="none"/>
        </w:rPr>
        <w:t>定期用户回访，及时处理用户意见</w:t>
      </w:r>
      <w:r>
        <w:rPr>
          <w:rFonts w:hint="eastAsia"/>
          <w:color w:val="auto"/>
          <w:sz w:val="24"/>
          <w:highlight w:val="none"/>
          <w:lang w:eastAsia="zh-CN"/>
        </w:rPr>
        <w:t>，</w:t>
      </w:r>
      <w:r>
        <w:rPr>
          <w:rFonts w:hint="eastAsia"/>
          <w:color w:val="auto"/>
          <w:sz w:val="24"/>
          <w:highlight w:val="none"/>
        </w:rPr>
        <w:t>接到售后服务电话后2小时内响应，8小时内到场解决。</w:t>
      </w:r>
    </w:p>
    <w:p>
      <w:pPr>
        <w:widowControl/>
        <w:spacing w:line="360" w:lineRule="auto"/>
        <w:ind w:firstLine="480"/>
        <w:rPr>
          <w:rFonts w:hint="eastAsia" w:ascii="宋体" w:hAnsi="宋体" w:eastAsia="微软雅黑" w:cs="Times New Roman"/>
          <w:b/>
          <w:bCs/>
          <w:color w:val="auto"/>
          <w:sz w:val="24"/>
          <w:highlight w:val="none"/>
          <w:lang w:eastAsia="zh-CN"/>
        </w:rPr>
      </w:pPr>
      <w:r>
        <w:rPr>
          <w:rFonts w:hint="eastAsia" w:ascii="宋体" w:hAnsi="宋体" w:cs="Times New Roman"/>
          <w:b/>
          <w:bCs/>
          <w:color w:val="auto"/>
          <w:sz w:val="24"/>
          <w:highlight w:val="none"/>
          <w:lang w:eastAsia="zh-CN"/>
        </w:rPr>
        <w:t>提醒：</w:t>
      </w:r>
    </w:p>
    <w:p>
      <w:pPr>
        <w:widowControl/>
        <w:spacing w:line="360" w:lineRule="auto"/>
        <w:ind w:firstLine="480"/>
        <w:rPr>
          <w:rFonts w:hint="eastAsia" w:ascii="宋体" w:hAnsi="宋体" w:cs="Times New Roman"/>
          <w:color w:val="auto"/>
          <w:sz w:val="24"/>
          <w:highlight w:val="none"/>
        </w:rPr>
      </w:pPr>
      <w:r>
        <w:rPr>
          <w:rFonts w:hint="eastAsia" w:ascii="宋体" w:hAnsi="宋体" w:cs="Times New Roman"/>
          <w:color w:val="auto"/>
          <w:sz w:val="24"/>
          <w:highlight w:val="none"/>
        </w:rPr>
        <w:t>★1、以上采购需求不指向任何一种品牌或供应商，★项技术参数为重要技术指标，有1项不满足按投标无效处理。</w:t>
      </w:r>
    </w:p>
    <w:p>
      <w:pPr>
        <w:widowControl/>
        <w:spacing w:line="360" w:lineRule="auto"/>
        <w:ind w:firstLine="480"/>
        <w:rPr>
          <w:rFonts w:hint="eastAsia" w:ascii="宋体" w:hAnsi="宋体" w:cs="Times New Roman"/>
          <w:color w:val="auto"/>
          <w:sz w:val="24"/>
          <w:highlight w:val="none"/>
        </w:rPr>
      </w:pPr>
      <w:r>
        <w:rPr>
          <w:rFonts w:hint="eastAsia" w:ascii="宋体" w:hAnsi="宋体" w:cs="Times New Roman"/>
          <w:color w:val="auto"/>
          <w:sz w:val="24"/>
          <w:highlight w:val="none"/>
        </w:rPr>
        <w:t>2、供应商应按己方所投标货物的实际技术参数填写，如经评标委员会发现未按所投产品品牌的实际技术参数进行应答，而是完全复制招标文件的技术参数，与所投品牌的实际技术参数不符的，按投标无效处理。技术偏离表中“投标文件响应情况”应如实填写，并与“招标文件技术要求”一一对应，如响应技术条款优于招标文件要求，填写“正偏离”，如简单填写“响应”或“完全响应”投标无效。</w:t>
      </w:r>
    </w:p>
    <w:p>
      <w:pPr>
        <w:widowControl/>
        <w:spacing w:line="360" w:lineRule="auto"/>
        <w:ind w:firstLine="480"/>
        <w:rPr>
          <w:rFonts w:hint="eastAsia" w:ascii="宋体" w:hAnsi="宋体" w:cs="Times New Roman"/>
          <w:color w:val="auto"/>
          <w:sz w:val="24"/>
          <w:highlight w:val="none"/>
        </w:rPr>
      </w:pPr>
      <w:r>
        <w:rPr>
          <w:rFonts w:hint="eastAsia" w:ascii="宋体" w:hAnsi="宋体" w:cs="Times New Roman"/>
          <w:color w:val="auto"/>
          <w:sz w:val="24"/>
          <w:highlight w:val="none"/>
        </w:rPr>
        <w:t>3、供应商应注意采购文件的采购需求中指出的工艺、材料、软件和设备的参照品牌或型号仅起说明作用，并没有任何限制性。供应商在采购活动中可以选用替代标准、品牌或型号，但这些替代要实质上满足或优于采购文件的要求。</w:t>
      </w:r>
    </w:p>
    <w:p>
      <w:pPr>
        <w:widowControl/>
        <w:spacing w:line="360" w:lineRule="auto"/>
        <w:ind w:firstLine="480"/>
        <w:rPr>
          <w:rFonts w:hint="eastAsia" w:ascii="宋体" w:hAnsi="宋体" w:cs="Times New Roman"/>
          <w:color w:val="auto"/>
          <w:sz w:val="24"/>
          <w:highlight w:val="none"/>
        </w:rPr>
      </w:pPr>
      <w:r>
        <w:rPr>
          <w:rFonts w:hint="eastAsia" w:ascii="宋体" w:hAnsi="宋体" w:cs="Times New Roman"/>
          <w:color w:val="auto"/>
          <w:sz w:val="24"/>
          <w:highlight w:val="none"/>
        </w:rPr>
        <w:t>4、根据《财政部 发展改革委 生态环境部 市场监管总局 关于调整优化节能产品、环境标志产品政府采购执行机制的通知》（财库〔2019〕9号）、《市场监管总局关于发布参与实施政府采购节能产品、环境标志产品认证机构名录的公告》（2019年第16号）等文件的相关规定，供应商所投产品属于符合上述条件的认证机构认证的产品（以下简称“经认证产品”）且产品型号须完全一致，响应文件中须附符合上述文件规定的认证证书，并在响应文件目录中予以标明，目录未标明的视为未提供。</w:t>
      </w:r>
    </w:p>
    <w:p>
      <w:pPr>
        <w:widowControl/>
        <w:spacing w:line="360" w:lineRule="auto"/>
        <w:ind w:firstLine="480"/>
        <w:rPr>
          <w:rFonts w:hint="eastAsia" w:ascii="宋体" w:hAnsi="宋体" w:cs="Times New Roman"/>
          <w:color w:val="auto"/>
          <w:sz w:val="24"/>
          <w:highlight w:val="none"/>
        </w:rPr>
      </w:pPr>
      <w:r>
        <w:rPr>
          <w:rFonts w:hint="eastAsia" w:ascii="宋体" w:hAnsi="宋体" w:cs="Times New Roman"/>
          <w:color w:val="auto"/>
          <w:sz w:val="24"/>
          <w:highlight w:val="none"/>
        </w:rPr>
        <w:t>★5、采购人所采购的产品属于国家有关安全、节能、环保等强制性标准时，供应商所投产品必须同时满足强制标准和本项目采购要求，且须在响应文件中按前款规定要求标明并提供认证证书。</w:t>
      </w:r>
    </w:p>
    <w:p>
      <w:pPr>
        <w:widowControl/>
        <w:spacing w:line="360" w:lineRule="auto"/>
        <w:ind w:firstLine="480"/>
        <w:rPr>
          <w:rFonts w:hint="eastAsia" w:ascii="宋体" w:hAnsi="宋体" w:cs="Times New Roman"/>
          <w:color w:val="auto"/>
          <w:sz w:val="24"/>
          <w:highlight w:val="none"/>
        </w:rPr>
      </w:pPr>
      <w:r>
        <w:rPr>
          <w:rFonts w:hint="eastAsia" w:ascii="宋体" w:hAnsi="宋体" w:cs="Times New Roman"/>
          <w:color w:val="auto"/>
          <w:sz w:val="24"/>
          <w:highlight w:val="none"/>
        </w:rPr>
        <w:t>★6、信息安全产品，需提供由中国信息安全认证中心按国家标准认证颁发的有效认证证书，应符合《关于信息安全产品实施政府采购的通知》（财库【2010】48号）要求。</w:t>
      </w:r>
    </w:p>
    <w:p>
      <w:pPr>
        <w:ind w:firstLine="720" w:firstLineChars="300"/>
        <w:rPr>
          <w:rFonts w:hint="eastAsia"/>
          <w:color w:val="auto"/>
          <w:highlight w:val="none"/>
          <w:lang w:val="en-US" w:eastAsia="zh-CN"/>
        </w:rPr>
      </w:pPr>
      <w:r>
        <w:rPr>
          <w:rFonts w:hint="eastAsia" w:ascii="宋体" w:hAnsi="宋体" w:cs="Times New Roman"/>
          <w:color w:val="auto"/>
          <w:sz w:val="24"/>
          <w:highlight w:val="none"/>
        </w:rPr>
        <w:t>7、报价产品的各项技术指标不能低于国家强制性标准，否则投标无效。</w:t>
      </w:r>
      <w:bookmarkEnd w:id="0"/>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7A"/>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2060F"/>
    <w:multiLevelType w:val="singleLevel"/>
    <w:tmpl w:val="A672060F"/>
    <w:lvl w:ilvl="0" w:tentative="0">
      <w:start w:val="1"/>
      <w:numFmt w:val="chineseCounting"/>
      <w:suff w:val="nothing"/>
      <w:lvlText w:val="（%1）"/>
      <w:lvlJc w:val="left"/>
      <w:rPr>
        <w:rFonts w:hint="eastAsia"/>
      </w:rPr>
    </w:lvl>
  </w:abstractNum>
  <w:abstractNum w:abstractNumId="1">
    <w:nsid w:val="4F773FB1"/>
    <w:multiLevelType w:val="multilevel"/>
    <w:tmpl w:val="4F773FB1"/>
    <w:lvl w:ilvl="0" w:tentative="0">
      <w:start w:val="1"/>
      <w:numFmt w:val="japaneseCounting"/>
      <w:lvlText w:val="%1、"/>
      <w:lvlJc w:val="left"/>
      <w:pPr>
        <w:ind w:left="510" w:hanging="51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ODcwN2EwMzM1N2FkOThmNzZkMjk2ZjY4NzExYWUifQ=="/>
  </w:docVars>
  <w:rsids>
    <w:rsidRoot w:val="1D52210B"/>
    <w:rsid w:val="02E32D4E"/>
    <w:rsid w:val="0D24789A"/>
    <w:rsid w:val="1A790313"/>
    <w:rsid w:val="1D52210B"/>
    <w:rsid w:val="24357A76"/>
    <w:rsid w:val="3792662C"/>
    <w:rsid w:val="58494FBA"/>
    <w:rsid w:val="698E10DE"/>
    <w:rsid w:val="6E7F2431"/>
    <w:rsid w:val="78FD6336"/>
    <w:rsid w:val="7CF81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lang w:val="en-US" w:eastAsia="zh-CN" w:bidi="ar-SA"/>
    </w:rPr>
  </w:style>
  <w:style w:type="paragraph" w:styleId="3">
    <w:name w:val="heading 1"/>
    <w:basedOn w:val="1"/>
    <w:next w:val="1"/>
    <w:qFormat/>
    <w:uiPriority w:val="0"/>
    <w:pPr>
      <w:keepNext/>
      <w:keepLines/>
      <w:spacing w:before="240" w:after="240"/>
      <w:ind w:left="100" w:leftChars="100" w:right="100" w:rightChars="100"/>
      <w:jc w:val="center"/>
      <w:outlineLvl w:val="0"/>
    </w:pPr>
    <w:rPr>
      <w:rFonts w:ascii="Calibri" w:hAnsi="Calibri" w:eastAsia="黑体" w:cs="Times New Roman"/>
      <w:bCs/>
      <w:kern w:val="44"/>
      <w:sz w:val="44"/>
      <w:szCs w:val="44"/>
    </w:rPr>
  </w:style>
  <w:style w:type="paragraph" w:styleId="4">
    <w:name w:val="heading 2"/>
    <w:basedOn w:val="1"/>
    <w:next w:val="1"/>
    <w:qFormat/>
    <w:uiPriority w:val="0"/>
    <w:pPr>
      <w:keepNext/>
      <w:keepLines/>
      <w:outlineLvl w:val="1"/>
    </w:pPr>
    <w:rPr>
      <w:rFonts w:ascii="Arial" w:hAnsi="Arial" w:eastAsia="黑体" w:cs="Times New Roman"/>
      <w:bCs/>
      <w:sz w:val="28"/>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jc w:val="left"/>
    </w:pPr>
    <w:rPr>
      <w:rFonts w:ascii="宋体" w:hAnsi="宋体"/>
      <w:b/>
      <w:bCs/>
      <w:sz w:val="24"/>
    </w:rPr>
  </w:style>
  <w:style w:type="paragraph" w:customStyle="1" w:styleId="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
    <w:name w:val="font41"/>
    <w:basedOn w:val="6"/>
    <w:qFormat/>
    <w:uiPriority w:val="0"/>
    <w:rPr>
      <w:rFonts w:hint="default" w:ascii="Times New Roman" w:hAnsi="Times New Roman" w:cs="Times New Roman"/>
      <w:color w:val="000000"/>
      <w:sz w:val="18"/>
      <w:szCs w:val="18"/>
      <w:u w:val="non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1704</Words>
  <Characters>1734</Characters>
  <Lines>0</Lines>
  <Paragraphs>0</Paragraphs>
  <TotalTime>0</TotalTime>
  <ScaleCrop>false</ScaleCrop>
  <LinksUpToDate>false</LinksUpToDate>
  <CharactersWithSpaces>1752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2022-01-05T06:43:00Z</dcterms:created>
  <dc:creator>忱义</dc:creator>
  <cp:lastModifiedBy> Gentleman</cp:lastModifiedBy>
  <dcterms:modified xsi:type="dcterms:W3CDTF">2023-08-09T11:47:21Z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BE0626A48BFB4498BAEF264CF2DC304C</vt:lpwstr>
  </property>
</Properties>
</file>