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ind w:left="102" w:leftChars="0" w:right="102" w:rightChars="0"/>
        <w:rPr>
          <w:rFonts w:ascii="黑体" w:hAnsi="黑体" w:cs="黑体"/>
          <w:color w:val="auto"/>
          <w:highlight w:val="none"/>
        </w:rPr>
      </w:pPr>
      <w:r>
        <w:rPr>
          <w:rFonts w:hint="eastAsia" w:ascii="黑体" w:hAnsi="黑体" w:cs="黑体"/>
          <w:color w:val="auto"/>
          <w:highlight w:val="none"/>
        </w:rPr>
        <w:t>采购人需求</w:t>
      </w:r>
    </w:p>
    <w:p>
      <w:pPr>
        <w:numPr>
          <w:ilvl w:val="0"/>
          <w:numId w:val="1"/>
        </w:numPr>
        <w:spacing w:line="341" w:lineRule="auto"/>
        <w:rPr>
          <w:b/>
          <w:color w:val="auto"/>
          <w:sz w:val="24"/>
          <w:highlight w:val="none"/>
        </w:rPr>
      </w:pPr>
      <w:bookmarkStart w:id="0" w:name="_Toc43684402"/>
      <w:bookmarkStart w:id="1" w:name="_Toc37437173"/>
      <w:bookmarkStart w:id="2" w:name="_Toc18461"/>
      <w:bookmarkStart w:id="3" w:name="_Toc137668855"/>
      <w:bookmarkStart w:id="4" w:name="_Toc47872891"/>
      <w:bookmarkStart w:id="5" w:name="_Toc43684270"/>
      <w:bookmarkStart w:id="6" w:name="_Toc45721680"/>
      <w:bookmarkStart w:id="7" w:name="_Toc38657058"/>
      <w:bookmarkStart w:id="8" w:name="_Toc37437886"/>
      <w:r>
        <w:rPr>
          <w:b/>
          <w:color w:val="auto"/>
          <w:sz w:val="24"/>
          <w:highlight w:val="none"/>
        </w:rPr>
        <w:t>采购原因</w:t>
      </w:r>
    </w:p>
    <w:p>
      <w:pPr>
        <w:spacing w:line="341" w:lineRule="auto"/>
        <w:ind w:firstLine="480" w:firstLineChars="200"/>
        <w:rPr>
          <w:color w:val="auto"/>
          <w:sz w:val="24"/>
          <w:highlight w:val="none"/>
        </w:rPr>
      </w:pPr>
      <w:r>
        <w:rPr>
          <w:color w:val="auto"/>
          <w:sz w:val="24"/>
          <w:highlight w:val="none"/>
        </w:rPr>
        <w:t>为更好地为全校广大师生员工提供优质的餐饮服务，加大从源头采购商品的力度，减少中间流通环节，提升食品安全，降低大宗商品采购价格，优化饮食原材料供应商结构。根据国家招标采购相关文件精神，哈尔滨工业大学</w:t>
      </w:r>
      <w:r>
        <w:rPr>
          <w:rFonts w:hint="eastAsia"/>
          <w:color w:val="auto"/>
          <w:sz w:val="24"/>
          <w:highlight w:val="none"/>
          <w:lang w:eastAsia="zh-CN"/>
        </w:rPr>
        <w:t>总务处</w:t>
      </w:r>
      <w:r>
        <w:rPr>
          <w:rFonts w:hint="eastAsia"/>
          <w:color w:val="auto"/>
          <w:sz w:val="24"/>
          <w:highlight w:val="none"/>
          <w:lang w:val="en-US" w:eastAsia="zh-CN"/>
        </w:rPr>
        <w:t>/</w:t>
      </w:r>
      <w:r>
        <w:rPr>
          <w:rFonts w:hint="eastAsia"/>
          <w:color w:val="auto"/>
          <w:sz w:val="24"/>
          <w:highlight w:val="none"/>
        </w:rPr>
        <w:t>后勤集团</w:t>
      </w:r>
      <w:r>
        <w:rPr>
          <w:color w:val="auto"/>
          <w:sz w:val="24"/>
          <w:highlight w:val="none"/>
        </w:rPr>
        <w:t>将对饮食原材料采购进行公开招标。</w:t>
      </w:r>
    </w:p>
    <w:p>
      <w:pPr>
        <w:pStyle w:val="3"/>
        <w:rPr>
          <w:color w:val="auto"/>
          <w:highlight w:val="none"/>
        </w:rPr>
      </w:pPr>
    </w:p>
    <w:p>
      <w:pPr>
        <w:numPr>
          <w:ilvl w:val="0"/>
          <w:numId w:val="1"/>
        </w:numPr>
        <w:spacing w:line="341" w:lineRule="auto"/>
        <w:rPr>
          <w:b/>
          <w:color w:val="auto"/>
          <w:sz w:val="24"/>
          <w:highlight w:val="none"/>
        </w:rPr>
      </w:pPr>
      <w:r>
        <w:rPr>
          <w:b/>
          <w:color w:val="auto"/>
          <w:sz w:val="24"/>
          <w:highlight w:val="none"/>
        </w:rPr>
        <w:t>采购数量</w:t>
      </w:r>
      <w:r>
        <w:rPr>
          <w:rFonts w:hint="eastAsia"/>
          <w:b/>
          <w:color w:val="auto"/>
          <w:sz w:val="24"/>
          <w:highlight w:val="none"/>
        </w:rPr>
        <w:t>及预算</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鸡产品：约</w:t>
      </w:r>
      <w:r>
        <w:rPr>
          <w:rFonts w:hint="eastAsia" w:ascii="宋体" w:hAnsi="宋体"/>
          <w:color w:val="auto"/>
          <w:sz w:val="24"/>
          <w:highlight w:val="none"/>
          <w:lang w:val="en-US" w:eastAsia="zh-CN"/>
        </w:rPr>
        <w:t>71</w:t>
      </w:r>
      <w:r>
        <w:rPr>
          <w:rFonts w:hint="eastAsia" w:ascii="宋体" w:hAnsi="宋体"/>
          <w:color w:val="auto"/>
          <w:sz w:val="24"/>
          <w:highlight w:val="none"/>
        </w:rPr>
        <w:t>万公斤/年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35.5万公斤/包，17.75万公斤/包，17.75万公斤/包，共计三包）</w:t>
      </w:r>
      <w:r>
        <w:rPr>
          <w:rFonts w:hint="eastAsia" w:ascii="宋体" w:hAnsi="宋体"/>
          <w:color w:val="auto"/>
          <w:sz w:val="24"/>
          <w:highlight w:val="none"/>
        </w:rPr>
        <w:t>          </w:t>
      </w:r>
    </w:p>
    <w:p>
      <w:pPr>
        <w:pStyle w:val="3"/>
        <w:rPr>
          <w:color w:val="auto"/>
          <w:highlight w:val="none"/>
        </w:rPr>
      </w:pPr>
    </w:p>
    <w:p>
      <w:pPr>
        <w:numPr>
          <w:ilvl w:val="0"/>
          <w:numId w:val="1"/>
        </w:numPr>
        <w:spacing w:line="341" w:lineRule="auto"/>
        <w:rPr>
          <w:rFonts w:hint="eastAsia"/>
          <w:b/>
          <w:color w:val="auto"/>
          <w:sz w:val="24"/>
          <w:highlight w:val="none"/>
        </w:rPr>
      </w:pPr>
      <w:r>
        <w:rPr>
          <w:b/>
          <w:color w:val="auto"/>
          <w:sz w:val="24"/>
          <w:highlight w:val="none"/>
        </w:rPr>
        <w:t>品类及技术要求：</w:t>
      </w:r>
    </w:p>
    <w:tbl>
      <w:tblPr>
        <w:tblStyle w:val="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392"/>
        <w:gridCol w:w="917"/>
        <w:gridCol w:w="1248"/>
        <w:gridCol w:w="923"/>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51" w:type="pct"/>
            <w:noWrap w:val="0"/>
            <w:vAlign w:val="center"/>
          </w:tcPr>
          <w:p>
            <w:pPr>
              <w:spacing w:line="560" w:lineRule="exact"/>
              <w:jc w:val="center"/>
              <w:rPr>
                <w:color w:val="auto"/>
                <w:szCs w:val="21"/>
                <w:highlight w:val="none"/>
              </w:rPr>
            </w:pPr>
            <w:r>
              <w:rPr>
                <w:color w:val="auto"/>
                <w:szCs w:val="21"/>
                <w:highlight w:val="none"/>
              </w:rPr>
              <w:t>序号</w:t>
            </w:r>
          </w:p>
        </w:tc>
        <w:tc>
          <w:tcPr>
            <w:tcW w:w="822" w:type="pct"/>
            <w:noWrap w:val="0"/>
            <w:vAlign w:val="center"/>
          </w:tcPr>
          <w:p>
            <w:pPr>
              <w:spacing w:line="560" w:lineRule="exact"/>
              <w:jc w:val="center"/>
              <w:rPr>
                <w:color w:val="auto"/>
                <w:szCs w:val="21"/>
                <w:highlight w:val="none"/>
              </w:rPr>
            </w:pPr>
            <w:r>
              <w:rPr>
                <w:color w:val="auto"/>
                <w:szCs w:val="21"/>
                <w:highlight w:val="none"/>
              </w:rPr>
              <w:t>品名</w:t>
            </w:r>
          </w:p>
        </w:tc>
        <w:tc>
          <w:tcPr>
            <w:tcW w:w="517" w:type="pct"/>
            <w:noWrap w:val="0"/>
            <w:vAlign w:val="center"/>
          </w:tcPr>
          <w:p>
            <w:pPr>
              <w:spacing w:line="560" w:lineRule="exact"/>
              <w:jc w:val="center"/>
              <w:rPr>
                <w:color w:val="auto"/>
                <w:szCs w:val="21"/>
                <w:highlight w:val="none"/>
              </w:rPr>
            </w:pPr>
            <w:r>
              <w:rPr>
                <w:color w:val="auto"/>
                <w:szCs w:val="21"/>
                <w:highlight w:val="none"/>
              </w:rPr>
              <w:t>标准</w:t>
            </w:r>
          </w:p>
        </w:tc>
        <w:tc>
          <w:tcPr>
            <w:tcW w:w="737" w:type="pct"/>
            <w:noWrap w:val="0"/>
            <w:vAlign w:val="center"/>
          </w:tcPr>
          <w:p>
            <w:pPr>
              <w:spacing w:line="240" w:lineRule="auto"/>
              <w:jc w:val="center"/>
              <w:rPr>
                <w:color w:val="auto"/>
                <w:szCs w:val="21"/>
                <w:highlight w:val="none"/>
              </w:rPr>
            </w:pPr>
            <w:r>
              <w:rPr>
                <w:color w:val="auto"/>
                <w:szCs w:val="21"/>
                <w:highlight w:val="none"/>
              </w:rPr>
              <w:t>参考采购量（余万公斤）</w:t>
            </w:r>
          </w:p>
        </w:tc>
        <w:tc>
          <w:tcPr>
            <w:tcW w:w="546" w:type="pct"/>
            <w:noWrap w:val="0"/>
            <w:vAlign w:val="center"/>
          </w:tcPr>
          <w:p>
            <w:pPr>
              <w:spacing w:line="560" w:lineRule="exact"/>
              <w:jc w:val="center"/>
              <w:rPr>
                <w:color w:val="auto"/>
                <w:szCs w:val="21"/>
                <w:highlight w:val="none"/>
              </w:rPr>
            </w:pPr>
            <w:r>
              <w:rPr>
                <w:color w:val="auto"/>
                <w:szCs w:val="21"/>
                <w:highlight w:val="none"/>
              </w:rPr>
              <w:t>规格</w:t>
            </w:r>
          </w:p>
        </w:tc>
        <w:tc>
          <w:tcPr>
            <w:tcW w:w="2024" w:type="pct"/>
            <w:noWrap w:val="0"/>
            <w:vAlign w:val="center"/>
          </w:tcPr>
          <w:p>
            <w:pPr>
              <w:spacing w:line="560" w:lineRule="exact"/>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1" w:type="pct"/>
            <w:noWrap/>
            <w:vAlign w:val="center"/>
          </w:tcPr>
          <w:p>
            <w:pPr>
              <w:spacing w:line="560" w:lineRule="exact"/>
              <w:jc w:val="center"/>
              <w:rPr>
                <w:color w:val="auto"/>
                <w:sz w:val="18"/>
                <w:szCs w:val="18"/>
                <w:highlight w:val="none"/>
              </w:rPr>
            </w:pPr>
            <w:r>
              <w:rPr>
                <w:color w:val="auto"/>
                <w:sz w:val="18"/>
                <w:szCs w:val="18"/>
                <w:highlight w:val="none"/>
              </w:rPr>
              <w:t>1</w:t>
            </w:r>
          </w:p>
        </w:tc>
        <w:tc>
          <w:tcPr>
            <w:tcW w:w="822" w:type="pct"/>
            <w:noWrap w:val="0"/>
            <w:vAlign w:val="center"/>
          </w:tcPr>
          <w:p>
            <w:pPr>
              <w:spacing w:line="560" w:lineRule="exact"/>
              <w:jc w:val="center"/>
              <w:rPr>
                <w:color w:val="auto"/>
                <w:sz w:val="18"/>
                <w:szCs w:val="18"/>
                <w:highlight w:val="none"/>
              </w:rPr>
            </w:pPr>
            <w:r>
              <w:rPr>
                <w:rFonts w:hint="eastAsia"/>
                <w:color w:val="auto"/>
                <w:sz w:val="18"/>
                <w:szCs w:val="18"/>
                <w:highlight w:val="none"/>
              </w:rPr>
              <w:t>冻鸡排腿</w:t>
            </w:r>
          </w:p>
        </w:tc>
        <w:tc>
          <w:tcPr>
            <w:tcW w:w="517" w:type="pct"/>
            <w:noWrap w:val="0"/>
            <w:vAlign w:val="center"/>
          </w:tcPr>
          <w:p>
            <w:pPr>
              <w:spacing w:line="560" w:lineRule="exact"/>
              <w:jc w:val="center"/>
              <w:rPr>
                <w:color w:val="auto"/>
                <w:sz w:val="18"/>
                <w:szCs w:val="18"/>
                <w:highlight w:val="none"/>
              </w:rPr>
            </w:pPr>
            <w:r>
              <w:rPr>
                <w:rFonts w:hint="eastAsia"/>
                <w:color w:val="auto"/>
                <w:sz w:val="18"/>
                <w:szCs w:val="18"/>
                <w:highlight w:val="none"/>
              </w:rPr>
              <w:t>GB16869</w:t>
            </w:r>
          </w:p>
        </w:tc>
        <w:tc>
          <w:tcPr>
            <w:tcW w:w="737" w:type="pct"/>
            <w:noWrap/>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37</w:t>
            </w:r>
          </w:p>
        </w:tc>
        <w:tc>
          <w:tcPr>
            <w:tcW w:w="546" w:type="pct"/>
            <w:noWrap/>
            <w:vAlign w:val="center"/>
          </w:tcPr>
          <w:p>
            <w:pPr>
              <w:spacing w:line="560" w:lineRule="exact"/>
              <w:jc w:val="center"/>
              <w:rPr>
                <w:color w:val="auto"/>
                <w:sz w:val="18"/>
                <w:szCs w:val="18"/>
                <w:highlight w:val="none"/>
              </w:rPr>
            </w:pPr>
            <w:r>
              <w:rPr>
                <w:color w:val="auto"/>
                <w:sz w:val="18"/>
                <w:szCs w:val="18"/>
                <w:highlight w:val="none"/>
              </w:rPr>
              <w:t>20kg</w:t>
            </w:r>
          </w:p>
        </w:tc>
        <w:tc>
          <w:tcPr>
            <w:tcW w:w="3895" w:type="dxa"/>
            <w:noWrap w:val="0"/>
            <w:vAlign w:val="center"/>
          </w:tcPr>
          <w:p>
            <w:pPr>
              <w:spacing w:line="240" w:lineRule="auto"/>
              <w:jc w:val="left"/>
              <w:rPr>
                <w:color w:val="auto"/>
                <w:sz w:val="18"/>
                <w:szCs w:val="18"/>
                <w:highlight w:val="none"/>
              </w:rPr>
            </w:pPr>
            <w:r>
              <w:rPr>
                <w:rFonts w:hint="eastAsia"/>
                <w:color w:val="auto"/>
                <w:sz w:val="18"/>
                <w:szCs w:val="18"/>
                <w:highlight w:val="none"/>
              </w:rPr>
              <w:t>模具成型</w:t>
            </w:r>
            <w:r>
              <w:rPr>
                <w:rFonts w:hint="eastAsia"/>
                <w:color w:val="auto"/>
                <w:sz w:val="18"/>
                <w:szCs w:val="18"/>
                <w:highlight w:val="none"/>
                <w:lang w:eastAsia="zh-CN"/>
              </w:rPr>
              <w:t>，成品规格为长</w:t>
            </w:r>
            <w:r>
              <w:rPr>
                <w:rFonts w:hint="eastAsia"/>
                <w:color w:val="auto"/>
                <w:sz w:val="18"/>
                <w:szCs w:val="18"/>
                <w:highlight w:val="none"/>
                <w:lang w:val="en-US" w:eastAsia="zh-CN"/>
              </w:rPr>
              <w:t>50厘米*宽18厘米*高16厘米（单次送货数量约为150个，具体数量以订单为准</w:t>
            </w:r>
            <w:r>
              <w:rPr>
                <w:rFonts w:hint="eastAsia"/>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1" w:type="pct"/>
            <w:noWrap/>
            <w:vAlign w:val="center"/>
          </w:tcPr>
          <w:p>
            <w:pPr>
              <w:spacing w:line="560" w:lineRule="exact"/>
              <w:jc w:val="center"/>
              <w:rPr>
                <w:color w:val="auto"/>
                <w:sz w:val="18"/>
                <w:szCs w:val="18"/>
                <w:highlight w:val="none"/>
              </w:rPr>
            </w:pPr>
            <w:r>
              <w:rPr>
                <w:rFonts w:hint="eastAsia"/>
                <w:color w:val="auto"/>
                <w:sz w:val="18"/>
                <w:szCs w:val="18"/>
                <w:highlight w:val="none"/>
              </w:rPr>
              <w:t>2</w:t>
            </w:r>
          </w:p>
        </w:tc>
        <w:tc>
          <w:tcPr>
            <w:tcW w:w="822" w:type="pct"/>
            <w:noWrap w:val="0"/>
            <w:vAlign w:val="center"/>
          </w:tcPr>
          <w:p>
            <w:pPr>
              <w:spacing w:line="560" w:lineRule="exact"/>
              <w:jc w:val="center"/>
              <w:rPr>
                <w:rFonts w:hint="eastAsia"/>
                <w:color w:val="auto"/>
                <w:sz w:val="18"/>
                <w:szCs w:val="18"/>
                <w:highlight w:val="none"/>
              </w:rPr>
            </w:pPr>
            <w:r>
              <w:rPr>
                <w:rFonts w:hint="eastAsia"/>
                <w:color w:val="auto"/>
                <w:sz w:val="18"/>
                <w:szCs w:val="18"/>
                <w:highlight w:val="none"/>
              </w:rPr>
              <w:t>冻鸡胸脯肉</w:t>
            </w:r>
          </w:p>
        </w:tc>
        <w:tc>
          <w:tcPr>
            <w:tcW w:w="517" w:type="pct"/>
            <w:noWrap w:val="0"/>
            <w:vAlign w:val="center"/>
          </w:tcPr>
          <w:p>
            <w:pPr>
              <w:jc w:val="center"/>
              <w:rPr>
                <w:color w:val="auto"/>
                <w:highlight w:val="none"/>
              </w:rPr>
            </w:pPr>
            <w:r>
              <w:rPr>
                <w:rFonts w:hint="eastAsia"/>
                <w:color w:val="auto"/>
                <w:sz w:val="18"/>
                <w:szCs w:val="18"/>
                <w:highlight w:val="none"/>
              </w:rPr>
              <w:t>GB16869</w:t>
            </w:r>
          </w:p>
        </w:tc>
        <w:tc>
          <w:tcPr>
            <w:tcW w:w="737" w:type="pct"/>
            <w:noWrap/>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19</w:t>
            </w:r>
          </w:p>
        </w:tc>
        <w:tc>
          <w:tcPr>
            <w:tcW w:w="546" w:type="pct"/>
            <w:noWrap/>
            <w:vAlign w:val="center"/>
          </w:tcPr>
          <w:p>
            <w:pPr>
              <w:spacing w:line="560" w:lineRule="exact"/>
              <w:jc w:val="center"/>
              <w:rPr>
                <w:color w:val="auto"/>
                <w:sz w:val="18"/>
                <w:szCs w:val="18"/>
                <w:highlight w:val="none"/>
              </w:rPr>
            </w:pPr>
            <w:r>
              <w:rPr>
                <w:color w:val="auto"/>
                <w:sz w:val="18"/>
                <w:szCs w:val="18"/>
                <w:highlight w:val="none"/>
              </w:rPr>
              <w:t>20kg</w:t>
            </w:r>
          </w:p>
        </w:tc>
        <w:tc>
          <w:tcPr>
            <w:tcW w:w="3895" w:type="dxa"/>
            <w:noWrap w:val="0"/>
            <w:vAlign w:val="center"/>
          </w:tcPr>
          <w:p>
            <w:pPr>
              <w:spacing w:line="240" w:lineRule="auto"/>
              <w:jc w:val="left"/>
              <w:rPr>
                <w:color w:val="auto"/>
                <w:sz w:val="18"/>
                <w:szCs w:val="18"/>
                <w:highlight w:val="none"/>
              </w:rPr>
            </w:pPr>
            <w:r>
              <w:rPr>
                <w:rFonts w:hint="eastAsia"/>
                <w:color w:val="auto"/>
                <w:sz w:val="18"/>
                <w:szCs w:val="18"/>
                <w:highlight w:val="none"/>
              </w:rPr>
              <w:t>模具成</w:t>
            </w:r>
            <w:r>
              <w:rPr>
                <w:rFonts w:hint="eastAsia"/>
                <w:color w:val="auto"/>
                <w:sz w:val="18"/>
                <w:szCs w:val="18"/>
                <w:highlight w:val="none"/>
                <w:lang w:eastAsia="zh-CN"/>
              </w:rPr>
              <w:t>型，成品规格分别为长</w:t>
            </w:r>
            <w:r>
              <w:rPr>
                <w:rFonts w:hint="eastAsia"/>
                <w:color w:val="auto"/>
                <w:sz w:val="18"/>
                <w:szCs w:val="18"/>
                <w:highlight w:val="none"/>
                <w:lang w:val="en-US" w:eastAsia="zh-CN"/>
              </w:rPr>
              <w:t>50厘米*宽18厘米*高16厘米、长30厘米*宽9厘米*高9厘米（单次送货数量约为180个，具体数量以订单为准</w:t>
            </w:r>
            <w:r>
              <w:rPr>
                <w:rFonts w:hint="eastAsia"/>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1" w:type="pct"/>
            <w:noWrap/>
            <w:vAlign w:val="center"/>
          </w:tcPr>
          <w:p>
            <w:pPr>
              <w:spacing w:line="560" w:lineRule="exact"/>
              <w:jc w:val="center"/>
              <w:rPr>
                <w:color w:val="auto"/>
                <w:sz w:val="18"/>
                <w:szCs w:val="18"/>
                <w:highlight w:val="none"/>
              </w:rPr>
            </w:pPr>
            <w:r>
              <w:rPr>
                <w:rFonts w:hint="eastAsia"/>
                <w:color w:val="auto"/>
                <w:sz w:val="18"/>
                <w:szCs w:val="18"/>
                <w:highlight w:val="none"/>
              </w:rPr>
              <w:t>3</w:t>
            </w:r>
          </w:p>
        </w:tc>
        <w:tc>
          <w:tcPr>
            <w:tcW w:w="822" w:type="pct"/>
            <w:noWrap w:val="0"/>
            <w:vAlign w:val="center"/>
          </w:tcPr>
          <w:p>
            <w:pPr>
              <w:spacing w:line="560" w:lineRule="exact"/>
              <w:jc w:val="center"/>
              <w:rPr>
                <w:rFonts w:hint="eastAsia"/>
                <w:color w:val="auto"/>
                <w:sz w:val="18"/>
                <w:szCs w:val="18"/>
                <w:highlight w:val="none"/>
              </w:rPr>
            </w:pPr>
            <w:r>
              <w:rPr>
                <w:rFonts w:hint="eastAsia"/>
                <w:color w:val="auto"/>
                <w:sz w:val="18"/>
                <w:szCs w:val="18"/>
                <w:highlight w:val="none"/>
              </w:rPr>
              <w:t>鸡上腿肉（无骨）</w:t>
            </w:r>
          </w:p>
        </w:tc>
        <w:tc>
          <w:tcPr>
            <w:tcW w:w="517" w:type="pct"/>
            <w:noWrap w:val="0"/>
            <w:vAlign w:val="center"/>
          </w:tcPr>
          <w:p>
            <w:pPr>
              <w:jc w:val="center"/>
              <w:rPr>
                <w:color w:val="auto"/>
                <w:highlight w:val="none"/>
              </w:rPr>
            </w:pPr>
            <w:r>
              <w:rPr>
                <w:rFonts w:hint="eastAsia"/>
                <w:color w:val="auto"/>
                <w:sz w:val="18"/>
                <w:szCs w:val="18"/>
                <w:highlight w:val="none"/>
              </w:rPr>
              <w:t>GB16869</w:t>
            </w:r>
          </w:p>
        </w:tc>
        <w:tc>
          <w:tcPr>
            <w:tcW w:w="737" w:type="pct"/>
            <w:noWrap/>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7.4</w:t>
            </w:r>
          </w:p>
        </w:tc>
        <w:tc>
          <w:tcPr>
            <w:tcW w:w="546" w:type="pct"/>
            <w:noWrap/>
            <w:vAlign w:val="center"/>
          </w:tcPr>
          <w:p>
            <w:pPr>
              <w:spacing w:line="560" w:lineRule="exact"/>
              <w:jc w:val="center"/>
              <w:rPr>
                <w:color w:val="auto"/>
                <w:sz w:val="18"/>
                <w:szCs w:val="18"/>
                <w:highlight w:val="none"/>
              </w:rPr>
            </w:pPr>
            <w:r>
              <w:rPr>
                <w:rFonts w:hint="eastAsia"/>
                <w:color w:val="auto"/>
                <w:sz w:val="18"/>
                <w:szCs w:val="18"/>
                <w:highlight w:val="none"/>
              </w:rPr>
              <w:t>1</w:t>
            </w:r>
            <w:r>
              <w:rPr>
                <w:color w:val="auto"/>
                <w:sz w:val="18"/>
                <w:szCs w:val="18"/>
                <w:highlight w:val="none"/>
              </w:rPr>
              <w:t>0kg</w:t>
            </w:r>
          </w:p>
        </w:tc>
        <w:tc>
          <w:tcPr>
            <w:tcW w:w="2024" w:type="pct"/>
            <w:noWrap w:val="0"/>
            <w:vAlign w:val="center"/>
          </w:tcPr>
          <w:p>
            <w:pPr>
              <w:spacing w:line="240" w:lineRule="auto"/>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1" w:type="pct"/>
            <w:noWrap/>
            <w:vAlign w:val="center"/>
          </w:tcPr>
          <w:p>
            <w:pPr>
              <w:spacing w:line="560" w:lineRule="exact"/>
              <w:jc w:val="center"/>
              <w:rPr>
                <w:color w:val="auto"/>
                <w:sz w:val="18"/>
                <w:szCs w:val="18"/>
                <w:highlight w:val="none"/>
              </w:rPr>
            </w:pPr>
            <w:r>
              <w:rPr>
                <w:rFonts w:hint="eastAsia"/>
                <w:color w:val="auto"/>
                <w:sz w:val="18"/>
                <w:szCs w:val="18"/>
                <w:highlight w:val="none"/>
              </w:rPr>
              <w:t>4</w:t>
            </w:r>
          </w:p>
        </w:tc>
        <w:tc>
          <w:tcPr>
            <w:tcW w:w="822" w:type="pct"/>
            <w:noWrap w:val="0"/>
            <w:vAlign w:val="center"/>
          </w:tcPr>
          <w:p>
            <w:pPr>
              <w:spacing w:line="560" w:lineRule="exact"/>
              <w:jc w:val="center"/>
              <w:rPr>
                <w:rFonts w:hint="eastAsia"/>
                <w:color w:val="auto"/>
                <w:sz w:val="18"/>
                <w:szCs w:val="18"/>
                <w:highlight w:val="none"/>
              </w:rPr>
            </w:pPr>
            <w:r>
              <w:rPr>
                <w:rFonts w:hint="eastAsia"/>
                <w:color w:val="auto"/>
                <w:sz w:val="18"/>
                <w:szCs w:val="18"/>
                <w:highlight w:val="none"/>
              </w:rPr>
              <w:t>其他</w:t>
            </w:r>
          </w:p>
        </w:tc>
        <w:tc>
          <w:tcPr>
            <w:tcW w:w="517" w:type="pct"/>
            <w:noWrap w:val="0"/>
            <w:vAlign w:val="center"/>
          </w:tcPr>
          <w:p>
            <w:pPr>
              <w:jc w:val="center"/>
              <w:rPr>
                <w:color w:val="auto"/>
                <w:highlight w:val="none"/>
              </w:rPr>
            </w:pPr>
            <w:r>
              <w:rPr>
                <w:rFonts w:hint="eastAsia"/>
                <w:color w:val="auto"/>
                <w:sz w:val="18"/>
                <w:szCs w:val="18"/>
                <w:highlight w:val="none"/>
              </w:rPr>
              <w:t>GB16869</w:t>
            </w:r>
          </w:p>
        </w:tc>
        <w:tc>
          <w:tcPr>
            <w:tcW w:w="737" w:type="pct"/>
            <w:noWrap/>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6.8</w:t>
            </w:r>
          </w:p>
        </w:tc>
        <w:tc>
          <w:tcPr>
            <w:tcW w:w="546" w:type="pct"/>
            <w:noWrap/>
            <w:vAlign w:val="center"/>
          </w:tcPr>
          <w:p>
            <w:pPr>
              <w:jc w:val="center"/>
              <w:rPr>
                <w:color w:val="auto"/>
                <w:sz w:val="18"/>
                <w:szCs w:val="18"/>
                <w:highlight w:val="none"/>
              </w:rPr>
            </w:pPr>
            <w:r>
              <w:rPr>
                <w:rFonts w:hint="eastAsia"/>
                <w:color w:val="auto"/>
                <w:sz w:val="18"/>
                <w:szCs w:val="18"/>
                <w:highlight w:val="none"/>
              </w:rPr>
              <w:t>5.5</w:t>
            </w:r>
            <w:r>
              <w:rPr>
                <w:color w:val="auto"/>
                <w:sz w:val="18"/>
                <w:szCs w:val="18"/>
                <w:highlight w:val="none"/>
              </w:rPr>
              <w:t>kg</w:t>
            </w:r>
          </w:p>
        </w:tc>
        <w:tc>
          <w:tcPr>
            <w:tcW w:w="2024" w:type="pct"/>
            <w:noWrap w:val="0"/>
            <w:vAlign w:val="center"/>
          </w:tcPr>
          <w:p>
            <w:pPr>
              <w:spacing w:line="240" w:lineRule="auto"/>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1" w:type="pct"/>
            <w:noWrap/>
            <w:vAlign w:val="center"/>
          </w:tcPr>
          <w:p>
            <w:pPr>
              <w:spacing w:line="560" w:lineRule="exact"/>
              <w:jc w:val="center"/>
              <w:rPr>
                <w:color w:val="auto"/>
                <w:sz w:val="18"/>
                <w:szCs w:val="18"/>
                <w:highlight w:val="none"/>
              </w:rPr>
            </w:pPr>
            <w:r>
              <w:rPr>
                <w:rFonts w:hint="eastAsia"/>
                <w:color w:val="auto"/>
                <w:sz w:val="18"/>
                <w:szCs w:val="18"/>
                <w:highlight w:val="none"/>
              </w:rPr>
              <w:t>5</w:t>
            </w:r>
          </w:p>
        </w:tc>
        <w:tc>
          <w:tcPr>
            <w:tcW w:w="822" w:type="pct"/>
            <w:noWrap w:val="0"/>
            <w:vAlign w:val="center"/>
          </w:tcPr>
          <w:p>
            <w:pPr>
              <w:spacing w:line="560" w:lineRule="exact"/>
              <w:jc w:val="center"/>
              <w:rPr>
                <w:rFonts w:hint="eastAsia"/>
                <w:color w:val="auto"/>
                <w:sz w:val="18"/>
                <w:szCs w:val="18"/>
                <w:highlight w:val="none"/>
              </w:rPr>
            </w:pPr>
            <w:r>
              <w:rPr>
                <w:rFonts w:hint="eastAsia"/>
                <w:color w:val="auto"/>
                <w:sz w:val="18"/>
                <w:szCs w:val="18"/>
                <w:highlight w:val="none"/>
              </w:rPr>
              <w:t>三黄鸡</w:t>
            </w:r>
          </w:p>
        </w:tc>
        <w:tc>
          <w:tcPr>
            <w:tcW w:w="517" w:type="pct"/>
            <w:noWrap w:val="0"/>
            <w:vAlign w:val="center"/>
          </w:tcPr>
          <w:p>
            <w:pPr>
              <w:jc w:val="center"/>
              <w:rPr>
                <w:color w:val="auto"/>
                <w:highlight w:val="none"/>
              </w:rPr>
            </w:pPr>
            <w:r>
              <w:rPr>
                <w:rFonts w:hint="eastAsia"/>
                <w:color w:val="auto"/>
                <w:sz w:val="18"/>
                <w:szCs w:val="18"/>
                <w:highlight w:val="none"/>
              </w:rPr>
              <w:t>GB16869</w:t>
            </w:r>
          </w:p>
        </w:tc>
        <w:tc>
          <w:tcPr>
            <w:tcW w:w="737" w:type="pct"/>
            <w:noWrap/>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w:t>
            </w:r>
          </w:p>
        </w:tc>
        <w:tc>
          <w:tcPr>
            <w:tcW w:w="546" w:type="pct"/>
            <w:noWrap/>
            <w:vAlign w:val="center"/>
          </w:tcPr>
          <w:p>
            <w:pPr>
              <w:spacing w:line="560" w:lineRule="exact"/>
              <w:jc w:val="center"/>
              <w:rPr>
                <w:rFonts w:hint="eastAsia"/>
                <w:color w:val="auto"/>
                <w:sz w:val="18"/>
                <w:szCs w:val="18"/>
                <w:highlight w:val="none"/>
              </w:rPr>
            </w:pPr>
            <w:r>
              <w:rPr>
                <w:rFonts w:hint="eastAsia"/>
                <w:color w:val="auto"/>
                <w:sz w:val="18"/>
                <w:szCs w:val="18"/>
                <w:highlight w:val="none"/>
              </w:rPr>
              <w:t>12kg</w:t>
            </w:r>
          </w:p>
        </w:tc>
        <w:tc>
          <w:tcPr>
            <w:tcW w:w="2024" w:type="pct"/>
            <w:noWrap w:val="0"/>
            <w:vAlign w:val="center"/>
          </w:tcPr>
          <w:p>
            <w:pPr>
              <w:spacing w:line="240" w:lineRule="auto"/>
              <w:jc w:val="center"/>
              <w:rPr>
                <w:color w:val="auto"/>
                <w:sz w:val="18"/>
                <w:szCs w:val="18"/>
                <w:highlight w:val="none"/>
              </w:rPr>
            </w:pPr>
            <w:r>
              <w:rPr>
                <w:rFonts w:hint="eastAsia"/>
                <w:color w:val="auto"/>
                <w:sz w:val="18"/>
                <w:szCs w:val="18"/>
                <w:highlight w:val="none"/>
              </w:rPr>
              <w:t>单只约重2.4斤</w:t>
            </w:r>
          </w:p>
        </w:tc>
      </w:tr>
    </w:tbl>
    <w:p>
      <w:pPr>
        <w:pStyle w:val="6"/>
        <w:numPr>
          <w:ilvl w:val="0"/>
          <w:numId w:val="0"/>
        </w:numPr>
        <w:spacing w:line="341" w:lineRule="auto"/>
        <w:ind w:leftChars="0"/>
        <w:rPr>
          <w:b/>
          <w:color w:val="auto"/>
          <w:sz w:val="24"/>
          <w:highlight w:val="none"/>
        </w:rPr>
      </w:pPr>
    </w:p>
    <w:p>
      <w:pPr>
        <w:pStyle w:val="6"/>
        <w:numPr>
          <w:ilvl w:val="0"/>
          <w:numId w:val="1"/>
        </w:numPr>
        <w:spacing w:line="341" w:lineRule="auto"/>
        <w:ind w:firstLineChars="0"/>
        <w:rPr>
          <w:b/>
          <w:color w:val="auto"/>
          <w:sz w:val="24"/>
          <w:highlight w:val="none"/>
        </w:rPr>
      </w:pPr>
      <w:r>
        <w:rPr>
          <w:rFonts w:hint="eastAsia"/>
          <w:b/>
          <w:color w:val="auto"/>
          <w:sz w:val="24"/>
          <w:highlight w:val="none"/>
          <w:lang w:eastAsia="zh-CN"/>
        </w:rPr>
        <w:t>供货</w:t>
      </w:r>
      <w:r>
        <w:rPr>
          <w:b/>
          <w:color w:val="auto"/>
          <w:sz w:val="24"/>
          <w:highlight w:val="none"/>
        </w:rPr>
        <w:t>要求：</w:t>
      </w:r>
    </w:p>
    <w:p>
      <w:pPr>
        <w:spacing w:line="400" w:lineRule="exact"/>
        <w:ind w:firstLine="480" w:firstLineChars="200"/>
        <w:rPr>
          <w:color w:val="auto"/>
          <w:sz w:val="24"/>
          <w:highlight w:val="none"/>
        </w:rPr>
      </w:pPr>
      <w:r>
        <w:rPr>
          <w:color w:val="auto"/>
          <w:sz w:val="24"/>
          <w:highlight w:val="none"/>
        </w:rPr>
        <w:t>1</w:t>
      </w:r>
      <w:r>
        <w:rPr>
          <w:rFonts w:hint="eastAsia"/>
          <w:color w:val="auto"/>
          <w:sz w:val="24"/>
          <w:highlight w:val="none"/>
        </w:rPr>
        <w:t>、协议期内向订购的产品，其数量应根据采购人需要分次供应，每次供货数量以订单为准。</w:t>
      </w:r>
    </w:p>
    <w:p>
      <w:pPr>
        <w:spacing w:line="400" w:lineRule="exact"/>
        <w:ind w:firstLine="480" w:firstLineChars="200"/>
        <w:rPr>
          <w:color w:val="auto"/>
          <w:sz w:val="24"/>
          <w:highlight w:val="none"/>
        </w:rPr>
      </w:pPr>
      <w:r>
        <w:rPr>
          <w:color w:val="auto"/>
          <w:sz w:val="24"/>
          <w:highlight w:val="none"/>
        </w:rPr>
        <w:t>2</w:t>
      </w:r>
      <w:r>
        <w:rPr>
          <w:rFonts w:hint="eastAsia"/>
          <w:color w:val="auto"/>
          <w:sz w:val="24"/>
          <w:highlight w:val="none"/>
        </w:rPr>
        <w:t>、不得提供临近保质期、超过保质期的原料或距有效期不足二分之一的原料（如生产日期为1月1日，保质期为一年的产品，不得在同年7月1日之后提供）。</w:t>
      </w:r>
    </w:p>
    <w:p>
      <w:pPr>
        <w:spacing w:line="400" w:lineRule="exact"/>
        <w:ind w:firstLine="480" w:firstLineChars="200"/>
        <w:rPr>
          <w:color w:val="auto"/>
          <w:sz w:val="24"/>
          <w:highlight w:val="none"/>
        </w:rPr>
      </w:pPr>
      <w:r>
        <w:rPr>
          <w:color w:val="auto"/>
          <w:sz w:val="24"/>
          <w:highlight w:val="none"/>
        </w:rPr>
        <w:t>3</w:t>
      </w:r>
      <w:r>
        <w:rPr>
          <w:rFonts w:hint="eastAsia"/>
          <w:color w:val="auto"/>
          <w:sz w:val="24"/>
          <w:highlight w:val="none"/>
        </w:rPr>
        <w:t>、提供的产品应符合国家质量、食品卫生、食品安全标准和食品检验标准，并提供具有官方资质的相关检验部门出具的检疫或质量检验报告单。</w:t>
      </w:r>
    </w:p>
    <w:p>
      <w:pPr>
        <w:spacing w:line="400" w:lineRule="exact"/>
        <w:ind w:firstLine="480"/>
        <w:rPr>
          <w:color w:val="auto"/>
          <w:sz w:val="24"/>
          <w:highlight w:val="none"/>
        </w:rPr>
      </w:pPr>
      <w:r>
        <w:rPr>
          <w:color w:val="auto"/>
          <w:sz w:val="24"/>
          <w:highlight w:val="none"/>
        </w:rPr>
        <w:t>4</w:t>
      </w:r>
      <w:r>
        <w:rPr>
          <w:rFonts w:hint="eastAsia"/>
          <w:color w:val="auto"/>
          <w:sz w:val="24"/>
          <w:highlight w:val="none"/>
        </w:rPr>
        <w:t>、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spacing w:line="400" w:lineRule="exact"/>
        <w:ind w:firstLine="480"/>
        <w:rPr>
          <w:rFonts w:hint="eastAsia"/>
          <w:color w:val="auto"/>
          <w:sz w:val="24"/>
          <w:highlight w:val="none"/>
          <w:lang w:val="en-US" w:eastAsia="zh-CN"/>
        </w:rPr>
      </w:pPr>
      <w:r>
        <w:rPr>
          <w:rFonts w:hint="eastAsia"/>
          <w:color w:val="auto"/>
          <w:sz w:val="24"/>
          <w:highlight w:val="none"/>
        </w:rPr>
        <w:t>5、鸡产品须按照饮食中心肉加工间所需的质量规格标准供货</w:t>
      </w:r>
      <w:r>
        <w:rPr>
          <w:rFonts w:hint="eastAsia"/>
          <w:color w:val="auto"/>
          <w:sz w:val="24"/>
          <w:highlight w:val="none"/>
          <w:lang w:eastAsia="zh-CN"/>
        </w:rPr>
        <w:t>。</w:t>
      </w:r>
      <w:r>
        <w:rPr>
          <w:rFonts w:hint="eastAsia"/>
          <w:color w:val="auto"/>
          <w:sz w:val="24"/>
          <w:highlight w:val="none"/>
        </w:rPr>
        <w:t>其中</w:t>
      </w:r>
      <w:r>
        <w:rPr>
          <w:rFonts w:hint="eastAsia"/>
          <w:color w:val="auto"/>
          <w:sz w:val="24"/>
          <w:highlight w:val="none"/>
          <w:lang w:eastAsia="zh-CN"/>
        </w:rPr>
        <w:t>鸡排腿模具生产</w:t>
      </w:r>
      <w:r>
        <w:rPr>
          <w:rFonts w:hint="eastAsia"/>
          <w:color w:val="auto"/>
          <w:sz w:val="24"/>
          <w:highlight w:val="none"/>
          <w:lang w:val="en-US" w:eastAsia="zh-CN"/>
        </w:rPr>
        <w:t>成品规格：长50厘米*宽18厘米*高16厘米；鸡胸成品规格分别为：长50厘米*宽18厘米*高16厘米、长30厘米*宽9厘米*高9厘米，以上产品批次供货数量一般不低于100件，投标人在合同签订一个月内必须完成模具制作及产品供应。</w:t>
      </w:r>
    </w:p>
    <w:p>
      <w:pPr>
        <w:spacing w:line="400" w:lineRule="exact"/>
        <w:ind w:firstLine="480"/>
        <w:rPr>
          <w:rFonts w:hint="eastAsia"/>
          <w:color w:val="auto"/>
          <w:sz w:val="24"/>
          <w:highlight w:val="none"/>
          <w:lang w:val="en-US" w:eastAsia="zh-CN"/>
        </w:rPr>
      </w:pPr>
      <w:r>
        <w:rPr>
          <w:rFonts w:hint="eastAsia"/>
          <w:color w:val="auto"/>
          <w:sz w:val="24"/>
          <w:highlight w:val="none"/>
          <w:lang w:val="en-US" w:eastAsia="zh-CN"/>
        </w:rPr>
        <w:t>6、★投标人须提供2023年内第三方检测机构出具的符合国家标准的检测报告。</w:t>
      </w:r>
    </w:p>
    <w:p>
      <w:pPr>
        <w:spacing w:line="341" w:lineRule="auto"/>
        <w:rPr>
          <w:b/>
          <w:color w:val="auto"/>
          <w:sz w:val="24"/>
          <w:highlight w:val="none"/>
        </w:rPr>
      </w:pPr>
    </w:p>
    <w:p>
      <w:pPr>
        <w:spacing w:line="341" w:lineRule="auto"/>
        <w:rPr>
          <w:b/>
          <w:color w:val="auto"/>
          <w:sz w:val="24"/>
          <w:highlight w:val="none"/>
        </w:rPr>
      </w:pPr>
      <w:r>
        <w:rPr>
          <w:b/>
          <w:color w:val="auto"/>
          <w:sz w:val="24"/>
          <w:highlight w:val="none"/>
        </w:rPr>
        <w:t>五、</w:t>
      </w:r>
      <w:r>
        <w:rPr>
          <w:rFonts w:hint="eastAsia" w:ascii="Times New Roman" w:hAnsi="Times New Roman" w:cs="Times New Roman"/>
          <w:b w:val="0"/>
          <w:bCs/>
          <w:color w:val="auto"/>
          <w:sz w:val="24"/>
          <w:szCs w:val="24"/>
          <w:highlight w:val="none"/>
        </w:rPr>
        <w:t>★</w:t>
      </w:r>
      <w:r>
        <w:rPr>
          <w:b/>
          <w:color w:val="auto"/>
          <w:sz w:val="24"/>
          <w:highlight w:val="none"/>
        </w:rPr>
        <w:t>售后及服务</w:t>
      </w:r>
    </w:p>
    <w:p>
      <w:pPr>
        <w:spacing w:line="400" w:lineRule="exact"/>
        <w:ind w:firstLine="480" w:firstLineChars="200"/>
        <w:rPr>
          <w:color w:val="auto"/>
          <w:sz w:val="24"/>
          <w:highlight w:val="none"/>
        </w:rPr>
      </w:pPr>
      <w:r>
        <w:rPr>
          <w:rFonts w:hint="eastAsia"/>
          <w:color w:val="auto"/>
          <w:sz w:val="24"/>
          <w:highlight w:val="none"/>
        </w:rPr>
        <w:t>1、</w:t>
      </w:r>
      <w:r>
        <w:rPr>
          <w:color w:val="auto"/>
          <w:sz w:val="24"/>
          <w:highlight w:val="none"/>
        </w:rPr>
        <w:t>能够准确提供本项目售后服务总负责人的姓名、职务、详细地址和联系方式。</w:t>
      </w:r>
    </w:p>
    <w:p>
      <w:pPr>
        <w:spacing w:line="400" w:lineRule="exact"/>
        <w:ind w:firstLine="480" w:firstLineChars="200"/>
        <w:rPr>
          <w:color w:val="auto"/>
          <w:sz w:val="24"/>
          <w:highlight w:val="none"/>
        </w:rPr>
      </w:pPr>
      <w:r>
        <w:rPr>
          <w:rFonts w:hint="eastAsia"/>
          <w:color w:val="auto"/>
          <w:sz w:val="24"/>
          <w:highlight w:val="none"/>
        </w:rPr>
        <w:t>2、</w:t>
      </w:r>
      <w:r>
        <w:rPr>
          <w:color w:val="auto"/>
          <w:sz w:val="24"/>
          <w:highlight w:val="none"/>
        </w:rPr>
        <w:t>承诺</w:t>
      </w:r>
      <w:r>
        <w:rPr>
          <w:rFonts w:hint="eastAsia"/>
          <w:color w:val="auto"/>
          <w:sz w:val="24"/>
          <w:highlight w:val="none"/>
          <w:lang w:eastAsia="zh-CN"/>
        </w:rPr>
        <w:t>本项目</w:t>
      </w:r>
      <w:r>
        <w:rPr>
          <w:color w:val="auto"/>
          <w:sz w:val="24"/>
          <w:highlight w:val="none"/>
        </w:rPr>
        <w:t>货物在质保期内因产品质量问题免费更换。</w:t>
      </w:r>
    </w:p>
    <w:p>
      <w:pPr>
        <w:spacing w:line="400" w:lineRule="exact"/>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lang w:eastAsia="zh-CN"/>
        </w:rPr>
        <w:t>承诺本项目</w:t>
      </w:r>
      <w:r>
        <w:rPr>
          <w:color w:val="auto"/>
          <w:sz w:val="24"/>
          <w:highlight w:val="none"/>
        </w:rPr>
        <w:t>定期用户回访，及时处理用户意见。质保期内在接到售后服务电话后</w:t>
      </w:r>
      <w:r>
        <w:rPr>
          <w:rFonts w:hint="eastAsia"/>
          <w:color w:val="auto"/>
          <w:sz w:val="24"/>
          <w:highlight w:val="none"/>
          <w:lang w:eastAsia="zh-CN"/>
        </w:rPr>
        <w:t>半</w:t>
      </w:r>
      <w:r>
        <w:rPr>
          <w:color w:val="auto"/>
          <w:sz w:val="24"/>
          <w:highlight w:val="none"/>
        </w:rPr>
        <w:t>小时内响应，</w:t>
      </w:r>
      <w:r>
        <w:rPr>
          <w:rFonts w:hint="eastAsia"/>
          <w:color w:val="auto"/>
          <w:sz w:val="24"/>
          <w:highlight w:val="none"/>
          <w:lang w:val="en-US" w:eastAsia="zh-CN"/>
        </w:rPr>
        <w:t>3</w:t>
      </w:r>
      <w:r>
        <w:rPr>
          <w:color w:val="auto"/>
          <w:sz w:val="24"/>
          <w:highlight w:val="none"/>
        </w:rPr>
        <w:t>小时内解决。</w:t>
      </w:r>
    </w:p>
    <w:p>
      <w:pPr>
        <w:jc w:val="left"/>
        <w:rPr>
          <w:color w:val="auto"/>
          <w:highlight w:val="none"/>
        </w:rPr>
      </w:pPr>
    </w:p>
    <w:p>
      <w:pPr>
        <w:spacing w:line="341" w:lineRule="auto"/>
        <w:rPr>
          <w:rFonts w:hint="eastAsia"/>
          <w:b/>
          <w:color w:val="auto"/>
          <w:sz w:val="24"/>
          <w:highlight w:val="none"/>
          <w:lang w:val="en-US" w:eastAsia="zh-CN"/>
        </w:rPr>
      </w:pPr>
      <w:r>
        <w:rPr>
          <w:rFonts w:hint="eastAsia"/>
          <w:b/>
          <w:color w:val="auto"/>
          <w:sz w:val="24"/>
          <w:highlight w:val="none"/>
          <w:lang w:val="en-US" w:eastAsia="zh-CN"/>
        </w:rPr>
        <w:t>六</w:t>
      </w:r>
      <w:r>
        <w:rPr>
          <w:b/>
          <w:color w:val="auto"/>
          <w:sz w:val="24"/>
          <w:highlight w:val="none"/>
        </w:rPr>
        <w:t>、</w:t>
      </w:r>
      <w:r>
        <w:rPr>
          <w:rFonts w:hint="eastAsia"/>
          <w:b/>
          <w:color w:val="auto"/>
          <w:sz w:val="24"/>
          <w:highlight w:val="none"/>
          <w:lang w:val="en-US" w:eastAsia="zh-CN"/>
        </w:rPr>
        <w:t>报价要求</w:t>
      </w:r>
    </w:p>
    <w:p>
      <w:pPr>
        <w:spacing w:line="400" w:lineRule="exact"/>
        <w:ind w:firstLine="480" w:firstLineChars="200"/>
        <w:rPr>
          <w:rFonts w:hint="default" w:ascii="Times New Roman" w:hAnsi="Times New Roman" w:eastAsia="宋体" w:cs="Times New Roman"/>
          <w:color w:val="auto"/>
          <w:sz w:val="24"/>
          <w:highlight w:val="none"/>
          <w:lang w:val="en-US" w:eastAsia="zh-CN"/>
        </w:rPr>
      </w:pPr>
      <w:r>
        <w:rPr>
          <w:rFonts w:hint="eastAsia" w:ascii="宋体" w:hAnsi="宋体" w:cs="宋体"/>
          <w:color w:val="auto"/>
          <w:sz w:val="24"/>
          <w:highlight w:val="none"/>
          <w:lang w:val="en-US" w:eastAsia="zh-CN"/>
        </w:rPr>
        <w:t>本项目采用折扣率报价，投标人按农贸市场（如哈安市场、横道市场等）或批发市场（如南极市场等）或大型商超（比优特超市、地利生鲜等）最低售价（不包含引流、特价、处理商品）为价格基数（三个标段均适用），以折扣率形式报价，最终执行价格为价格基数×折扣率，折扣率最高限价为100%，折扣率保留两位小数。</w:t>
      </w:r>
    </w:p>
    <w:p>
      <w:pPr>
        <w:spacing w:line="341" w:lineRule="auto"/>
        <w:rPr>
          <w:rFonts w:hint="eastAsia"/>
          <w:b/>
          <w:color w:val="auto"/>
          <w:sz w:val="24"/>
          <w:highlight w:val="none"/>
          <w:lang w:val="en-US" w:eastAsia="zh-CN"/>
        </w:rPr>
      </w:pPr>
    </w:p>
    <w:p>
      <w:pPr>
        <w:spacing w:line="341" w:lineRule="auto"/>
        <w:rPr>
          <w:rFonts w:hint="eastAsia" w:eastAsia="宋体"/>
          <w:b/>
          <w:color w:val="auto"/>
          <w:sz w:val="24"/>
          <w:highlight w:val="none"/>
          <w:lang w:eastAsia="zh-CN"/>
        </w:rPr>
      </w:pPr>
      <w:r>
        <w:rPr>
          <w:rFonts w:hint="eastAsia"/>
          <w:b/>
          <w:color w:val="auto"/>
          <w:sz w:val="24"/>
          <w:highlight w:val="none"/>
          <w:lang w:val="en-US" w:eastAsia="zh-CN"/>
        </w:rPr>
        <w:t>七、其他</w:t>
      </w:r>
    </w:p>
    <w:bookmarkEnd w:id="0"/>
    <w:bookmarkEnd w:id="1"/>
    <w:bookmarkEnd w:id="2"/>
    <w:bookmarkEnd w:id="3"/>
    <w:bookmarkEnd w:id="4"/>
    <w:bookmarkEnd w:id="5"/>
    <w:bookmarkEnd w:id="6"/>
    <w:bookmarkEnd w:id="7"/>
    <w:bookmarkEnd w:id="8"/>
    <w:p>
      <w:pPr>
        <w:spacing w:line="400" w:lineRule="exact"/>
        <w:ind w:firstLine="480" w:firstLineChars="200"/>
        <w:rPr>
          <w:rFonts w:hint="eastAsia" w:ascii="Times New Roman" w:hAnsi="Times New Roman" w:eastAsia="宋体" w:cs="Times New Roman"/>
          <w:color w:val="auto"/>
          <w:sz w:val="24"/>
          <w:highlight w:val="none"/>
        </w:rPr>
      </w:pPr>
      <w:bookmarkStart w:id="9" w:name="_Toc5260"/>
      <w:bookmarkStart w:id="10" w:name="_Toc28606"/>
      <w:bookmarkStart w:id="11" w:name="_Toc22051"/>
      <w:bookmarkStart w:id="12" w:name="_Toc20473794"/>
      <w:bookmarkStart w:id="13" w:name="_Toc351466512"/>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供应商应提供以下资格证明文件</w:t>
      </w:r>
      <w:bookmarkEnd w:id="9"/>
      <w:bookmarkEnd w:id="10"/>
      <w:bookmarkEnd w:id="11"/>
      <w:bookmarkEnd w:id="12"/>
      <w:bookmarkEnd w:id="13"/>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.1★法人授权委托书（加盖公章的复印件，按招标文件要求格式签署）；</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.2★被授权人身份证（加盖公章的复印件）；</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.3★法定代表人身份证（加盖公章的复印件）；</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.4★营业执照（加盖公章的复印件）；</w:t>
      </w:r>
      <w:r>
        <w:rPr>
          <w:rFonts w:hint="eastAsia" w:ascii="Times New Roman" w:hAnsi="Times New Roman" w:eastAsia="宋体" w:cs="Times New Roman"/>
          <w:color w:val="auto"/>
          <w:sz w:val="24"/>
          <w:highlight w:val="none"/>
        </w:rPr>
        <w:tab/>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.5★基本账户开户许可证或基本存款账户信息单（加盖公章的复印件）；</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6</w:t>
      </w:r>
      <w:r>
        <w:rPr>
          <w:rFonts w:hint="eastAsia" w:ascii="Times New Roman" w:hAnsi="Times New Roman" w:eastAsia="宋体" w:cs="Times New Roman"/>
          <w:color w:val="auto"/>
          <w:sz w:val="24"/>
          <w:highlight w:val="none"/>
        </w:rPr>
        <w:t>★书面声明</w:t>
      </w:r>
    </w:p>
    <w:p>
      <w:pPr>
        <w:spacing w:line="40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1.7</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投标人须具有在有效期内的《食品生产许可证》或《食品流通许可证》或《食品经营许可证》或以及适用于本项目的经营许可类证明材料，以及生产厂商的《畜禽定点屠宰证》。</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cs="Times New Roman"/>
          <w:color w:val="auto"/>
          <w:sz w:val="24"/>
          <w:highlight w:val="none"/>
          <w:lang w:val="en-US" w:eastAsia="zh-CN"/>
        </w:rPr>
        <w:t>1.8</w:t>
      </w:r>
      <w:r>
        <w:rPr>
          <w:rFonts w:hint="eastAsia" w:ascii="Times New Roman" w:hAnsi="Times New Roman" w:eastAsia="宋体" w:cs="Times New Roman"/>
          <w:color w:val="auto"/>
          <w:sz w:val="24"/>
          <w:highlight w:val="none"/>
        </w:rPr>
        <w:t>★授权委托人为本单位在职人员并提供缴纳任意2个月（2023年01月至2023年10月期间）缴纳职工基本养老保险的证明，缴纳养老保险证明须为在人力资源和社会保障网上的打印件并加盖企业公章，包括社保号、身份证号、密码等。（如为外籍供应商，无需此项要求）。</w:t>
      </w:r>
    </w:p>
    <w:p>
      <w:pPr>
        <w:pStyle w:val="3"/>
        <w:ind w:firstLine="480" w:firstLineChars="20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1.9★第一包：投标人需提供所投产品的销售业绩（可以是所投产品生产商的业绩），业绩要求如下：应为2021年1月1日至2023年11月30日以来任意年度内，所投产品销售数量在17万公斤（含17万公斤）以上。（提供业绩材料原件彩色扫描件，包含合同及供货清单、验收证明材料，其中合同及供货清单需体现采购数量或合同金额）。</w:t>
      </w:r>
    </w:p>
    <w:p>
      <w:pPr>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第二包、第三包：投标人需提供所投产品的销售业绩（可以是所投产品生产商的业绩），业绩要求如下：应为2021年1月1日至2023年11月30日以来任意年度内，所投产品销售数量在8万公斤（含8万公斤）以上。（提供业绩材料原件彩色扫描件，包含合同及供货清单、验收证明材料，其中合同及供货清单需体现采购数量或合同金额）。</w:t>
      </w:r>
    </w:p>
    <w:p>
      <w:pPr>
        <w:spacing w:line="360" w:lineRule="auto"/>
        <w:ind w:firstLine="420" w:firstLineChars="200"/>
        <w:rPr>
          <w:rFonts w:hint="default"/>
          <w:color w:val="auto"/>
          <w:highlight w:val="none"/>
          <w:lang w:val="en-US" w:eastAsia="zh-CN"/>
        </w:rPr>
      </w:pP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注：供应商应按上述要求准备，且复印件与原件须一致，不满足上述要求的，投标无效，以上文件一次性递交，资格审查完成后补交的材料将视为无效。</w:t>
      </w:r>
    </w:p>
    <w:p>
      <w:pPr>
        <w:spacing w:line="400" w:lineRule="exact"/>
        <w:ind w:firstLine="480" w:firstLineChars="200"/>
        <w:rPr>
          <w:rFonts w:hint="eastAsia" w:ascii="Times New Roman" w:hAnsi="Times New Roman" w:eastAsia="宋体" w:cs="Times New Roman"/>
          <w:color w:val="auto"/>
          <w:sz w:val="24"/>
          <w:highlight w:val="none"/>
        </w:rPr>
      </w:pPr>
      <w:bookmarkStart w:id="14" w:name="_Toc27613"/>
      <w:bookmarkStart w:id="15" w:name="_Toc20473795"/>
      <w:bookmarkStart w:id="16" w:name="_Toc351466513"/>
      <w:bookmarkStart w:id="17" w:name="_Toc30592"/>
      <w:bookmarkStart w:id="18" w:name="_Toc2842"/>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供应商应提供以下商务技术文件</w:t>
      </w:r>
      <w:bookmarkEnd w:id="14"/>
      <w:bookmarkEnd w:id="15"/>
      <w:bookmarkEnd w:id="16"/>
      <w:bookmarkEnd w:id="17"/>
      <w:bookmarkEnd w:id="18"/>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.1★投标函</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.2★开标一览表（正本中的开标一览表为唱标专用，不接受单独密封的开标一览表）</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.3★资格证明文件</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.4其他需要提供的有效文件</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以上★号为必备条款，任一条不满足则视为投标无效。</w:t>
      </w:r>
    </w:p>
    <w:p>
      <w:pPr>
        <w:spacing w:line="400" w:lineRule="exact"/>
        <w:ind w:firstLine="480" w:firstLineChars="200"/>
        <w:rPr>
          <w:rFonts w:hint="eastAsia" w:ascii="Times New Roman" w:hAnsi="Times New Roman" w:eastAsia="宋体" w:cs="Times New Roman"/>
          <w:color w:val="auto"/>
          <w:sz w:val="24"/>
          <w:highlight w:val="none"/>
          <w:lang w:val="en-US" w:eastAsia="zh-CN"/>
        </w:rPr>
      </w:pPr>
      <w:bookmarkStart w:id="19" w:name="_Toc24668"/>
      <w:bookmarkStart w:id="20" w:name="_Toc28491"/>
      <w:bookmarkStart w:id="21" w:name="_Toc11658"/>
      <w:bookmarkStart w:id="22" w:name="_Toc20473796"/>
      <w:r>
        <w:rPr>
          <w:rFonts w:hint="eastAsia" w:ascii="Times New Roman" w:hAnsi="Times New Roman" w:eastAsia="宋体" w:cs="Times New Roman"/>
          <w:color w:val="auto"/>
          <w:sz w:val="24"/>
          <w:highlight w:val="none"/>
          <w:lang w:val="en-US" w:eastAsia="zh-CN"/>
        </w:rPr>
        <w:t>3、其他</w:t>
      </w:r>
      <w:bookmarkEnd w:id="19"/>
      <w:bookmarkEnd w:id="20"/>
      <w:bookmarkEnd w:id="21"/>
      <w:bookmarkEnd w:id="22"/>
    </w:p>
    <w:p>
      <w:r>
        <w:rPr>
          <w:rFonts w:hint="eastAsia" w:ascii="Times New Roman" w:hAnsi="Times New Roman" w:eastAsia="宋体" w:cs="Times New Roman"/>
          <w:color w:val="auto"/>
          <w:sz w:val="24"/>
          <w:highlight w:val="none"/>
          <w:lang w:val="en-US" w:eastAsia="zh-CN"/>
        </w:rPr>
        <w:t>与本项目招标相关的事务及澄清公告敬请关注招标公告发布媒介。</w:t>
      </w:r>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73FB1"/>
    <w:multiLevelType w:val="multilevel"/>
    <w:tmpl w:val="4F773FB1"/>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OTkyNTE5NmUzMjQ5N2I0ZDU4MWEyOWRlZjgxNDUifQ=="/>
  </w:docVars>
  <w:rsids>
    <w:rsidRoot w:val="00000000"/>
    <w:rsid w:val="00352E44"/>
    <w:rsid w:val="043544B6"/>
    <w:rsid w:val="04451E16"/>
    <w:rsid w:val="05C37276"/>
    <w:rsid w:val="08AA2904"/>
    <w:rsid w:val="0D98305C"/>
    <w:rsid w:val="0F9B3705"/>
    <w:rsid w:val="16173E11"/>
    <w:rsid w:val="182A1485"/>
    <w:rsid w:val="188D017B"/>
    <w:rsid w:val="19731441"/>
    <w:rsid w:val="19B33EEE"/>
    <w:rsid w:val="19CF6415"/>
    <w:rsid w:val="1A8E4B7F"/>
    <w:rsid w:val="1D5230D9"/>
    <w:rsid w:val="22E93E46"/>
    <w:rsid w:val="23A964B3"/>
    <w:rsid w:val="2598031A"/>
    <w:rsid w:val="2A243E88"/>
    <w:rsid w:val="2E27725B"/>
    <w:rsid w:val="30086FB4"/>
    <w:rsid w:val="31CA217E"/>
    <w:rsid w:val="32A84E00"/>
    <w:rsid w:val="34C13A71"/>
    <w:rsid w:val="367760A6"/>
    <w:rsid w:val="368B33C4"/>
    <w:rsid w:val="36ED2755"/>
    <w:rsid w:val="3D7D6327"/>
    <w:rsid w:val="3E957E40"/>
    <w:rsid w:val="3EDF5B89"/>
    <w:rsid w:val="3F5915EC"/>
    <w:rsid w:val="4148291E"/>
    <w:rsid w:val="42CE6DE3"/>
    <w:rsid w:val="455C229F"/>
    <w:rsid w:val="47590B70"/>
    <w:rsid w:val="491B1E44"/>
    <w:rsid w:val="4C527D79"/>
    <w:rsid w:val="4E8B53D0"/>
    <w:rsid w:val="4F2B3E05"/>
    <w:rsid w:val="4FA95950"/>
    <w:rsid w:val="539340BE"/>
    <w:rsid w:val="54F86C35"/>
    <w:rsid w:val="56BA6B34"/>
    <w:rsid w:val="5BB5595B"/>
    <w:rsid w:val="5C437460"/>
    <w:rsid w:val="5E766430"/>
    <w:rsid w:val="5EB071C2"/>
    <w:rsid w:val="5ECC57EF"/>
    <w:rsid w:val="5F5923A6"/>
    <w:rsid w:val="5FD659F9"/>
    <w:rsid w:val="64274927"/>
    <w:rsid w:val="65E87234"/>
    <w:rsid w:val="66D054DE"/>
    <w:rsid w:val="67D94269"/>
    <w:rsid w:val="6F431768"/>
    <w:rsid w:val="70F259DC"/>
    <w:rsid w:val="747728FE"/>
    <w:rsid w:val="7B0E6C65"/>
    <w:rsid w:val="7F98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djustRightInd w:val="0"/>
      <w:spacing w:line="360" w:lineRule="atLeast"/>
      <w:jc w:val="center"/>
      <w:textAlignment w:val="baseline"/>
    </w:pPr>
    <w:rPr>
      <w:kern w:val="0"/>
      <w:sz w:val="24"/>
      <w:szCs w:val="2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2022-09-09T00:36:00Z</dcterms:created>
  <dc:creator>LENOVO</dc:creator>
  <cp:lastModifiedBy>awk</cp:lastModifiedBy>
  <dcterms:modified xsi:type="dcterms:W3CDTF">2023-12-13T07:03:31Z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CBDE730138004325B4FFC3108151C884</vt:lpwstr>
  </property>
</Properties>
</file>