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附件4</w:t>
      </w:r>
    </w:p>
    <w:p>
      <w:pPr>
        <w:jc w:val="center"/>
        <w:rPr>
          <w:rFonts w:eastAsia="方正小标宋简体"/>
          <w:sz w:val="40"/>
          <w:szCs w:val="40"/>
        </w:rPr>
      </w:pPr>
      <w:r>
        <w:rPr>
          <w:rFonts w:eastAsia="方正小标宋简体"/>
          <w:sz w:val="40"/>
          <w:szCs w:val="40"/>
        </w:rPr>
        <w:t>2024年“百名博士扬州实践”项目征集表</w:t>
      </w:r>
    </w:p>
    <w:tbl>
      <w:tblPr>
        <w:tblStyle w:val="5"/>
        <w:tblW w:w="516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13"/>
        <w:gridCol w:w="1747"/>
        <w:gridCol w:w="1203"/>
        <w:gridCol w:w="1486"/>
        <w:gridCol w:w="1415"/>
        <w:gridCol w:w="1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58" w:hRule="atLeast"/>
          <w:jc w:val="center"/>
        </w:trPr>
        <w:tc>
          <w:tcPr>
            <w:tcW w:w="913" w:type="pct"/>
            <w:tcBorders>
              <w:top w:val="thinThickSmallGap" w:color="auto" w:sz="12" w:space="0"/>
              <w:left w:val="thinThickSmallGap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项目名称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spacing w:val="-6"/>
                <w:w w:val="90"/>
                <w:sz w:val="24"/>
              </w:rPr>
              <w:t>（20字以内）</w:t>
            </w:r>
          </w:p>
        </w:tc>
        <w:tc>
          <w:tcPr>
            <w:tcW w:w="4086" w:type="pct"/>
            <w:gridSpan w:val="5"/>
            <w:tcBorders>
              <w:top w:val="thinThickSmallGap" w:color="auto" w:sz="12" w:space="0"/>
              <w:left w:val="single" w:color="auto" w:sz="4" w:space="0"/>
              <w:bottom w:val="single" w:color="auto" w:sz="4" w:space="0"/>
              <w:right w:val="thinThickSmallGap" w:color="auto" w:sz="12" w:space="0"/>
            </w:tcBorders>
            <w:vAlign w:val="center"/>
          </w:tcPr>
          <w:p>
            <w:pPr>
              <w:spacing w:line="400" w:lineRule="exact"/>
              <w:ind w:left="1080" w:hanging="1080" w:hangingChars="4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电缆材料燃烧特性表征与评估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6" w:hRule="atLeast"/>
          <w:jc w:val="center"/>
        </w:trPr>
        <w:tc>
          <w:tcPr>
            <w:tcW w:w="913" w:type="pct"/>
            <w:vMerge w:val="restart"/>
            <w:tcBorders>
              <w:top w:val="single" w:color="auto" w:sz="4" w:space="0"/>
              <w:left w:val="thinThickSmallGap" w:color="auto" w:sz="12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项目具体</w:t>
            </w:r>
          </w:p>
          <w:p>
            <w:pPr>
              <w:spacing w:line="400" w:lineRule="exact"/>
              <w:ind w:left="916" w:hanging="918" w:hangingChars="450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任务描述</w:t>
            </w:r>
          </w:p>
          <w:p>
            <w:pPr>
              <w:spacing w:line="400" w:lineRule="exact"/>
              <w:ind w:left="916" w:hanging="918" w:hangingChars="450"/>
              <w:jc w:val="left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（应尽量详细，</w:t>
            </w:r>
          </w:p>
          <w:p>
            <w:pPr>
              <w:spacing w:line="400" w:lineRule="exact"/>
              <w:ind w:left="916" w:hanging="918" w:hangingChars="450"/>
              <w:jc w:val="left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不够可添加附页、</w:t>
            </w:r>
          </w:p>
          <w:p>
            <w:pPr>
              <w:spacing w:line="400" w:lineRule="exact"/>
              <w:ind w:left="916" w:hanging="918" w:hangingChars="450"/>
              <w:jc w:val="left"/>
              <w:rPr>
                <w:sz w:val="24"/>
              </w:rPr>
            </w:pPr>
            <w:r>
              <w:rPr>
                <w:spacing w:val="-6"/>
                <w:w w:val="90"/>
                <w:sz w:val="24"/>
              </w:rPr>
              <w:t>订在本页后面）</w:t>
            </w:r>
          </w:p>
        </w:tc>
        <w:tc>
          <w:tcPr>
            <w:tcW w:w="9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left="916" w:hanging="918" w:hangingChars="450"/>
              <w:jc w:val="center"/>
              <w:rPr>
                <w:sz w:val="24"/>
              </w:rPr>
            </w:pPr>
            <w:r>
              <w:rPr>
                <w:spacing w:val="-6"/>
                <w:w w:val="90"/>
                <w:sz w:val="24"/>
              </w:rPr>
              <w:t>项目背景</w:t>
            </w:r>
          </w:p>
        </w:tc>
        <w:tc>
          <w:tcPr>
            <w:tcW w:w="3101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nThickSmallGap" w:color="auto" w:sz="12" w:space="0"/>
            </w:tcBorders>
            <w:vAlign w:val="center"/>
          </w:tcPr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火灾事故70%左右来自电气原因引起，电线电阻燃能力是整个行业关注的重点，然而由于电缆材料配方复杂且多变，现有材料阻燃实验评价方法与成品阻燃试验关联度不足，材料筛选缺乏依据，需要大量成品阻燃试验实施验证，费时费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5" w:hRule="atLeast"/>
          <w:jc w:val="center"/>
        </w:trPr>
        <w:tc>
          <w:tcPr>
            <w:tcW w:w="913" w:type="pct"/>
            <w:vMerge w:val="continue"/>
            <w:tcBorders>
              <w:left w:val="thinThickSmallGap" w:color="auto" w:sz="12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9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spacing w:val="-6"/>
                <w:w w:val="90"/>
                <w:sz w:val="24"/>
              </w:rPr>
              <w:t>项目目标</w:t>
            </w:r>
          </w:p>
        </w:tc>
        <w:tc>
          <w:tcPr>
            <w:tcW w:w="3101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nThickSmallGap" w:color="auto" w:sz="12" w:space="0"/>
            </w:tcBorders>
            <w:vAlign w:val="center"/>
          </w:tcPr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探索建立电线电缆护套材料阻燃评价方法，与成品电缆燃烧表象之间的关系，通过材料试验对成束燃烧表象实施预估。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3" w:hRule="atLeast"/>
          <w:jc w:val="center"/>
        </w:trPr>
        <w:tc>
          <w:tcPr>
            <w:tcW w:w="913" w:type="pct"/>
            <w:vMerge w:val="continue"/>
            <w:tcBorders>
              <w:left w:val="thinThickSmallGap" w:color="auto" w:sz="12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9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spacing w:val="-6"/>
                <w:w w:val="90"/>
                <w:sz w:val="24"/>
              </w:rPr>
              <w:t>关键技术或问题</w:t>
            </w:r>
          </w:p>
        </w:tc>
        <w:tc>
          <w:tcPr>
            <w:tcW w:w="3101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nThickSmallGap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材料燃烧机理分析与表征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913" w:type="pct"/>
            <w:vMerge w:val="continue"/>
            <w:tcBorders>
              <w:left w:val="thinThickSmallGap" w:color="auto" w:sz="12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9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spacing w:val="-6"/>
                <w:w w:val="90"/>
                <w:sz w:val="24"/>
              </w:rPr>
              <w:t>现有条件</w:t>
            </w:r>
          </w:p>
        </w:tc>
        <w:tc>
          <w:tcPr>
            <w:tcW w:w="3101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nThickSmallGap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Cs w:val="21"/>
              </w:rPr>
              <w:t>公司提供试验所需原材料；公司实验室有基本的加工和阻燃检测设备（成品、材料），实验员可协助进行性能检测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1" w:hRule="atLeast"/>
          <w:jc w:val="center"/>
        </w:trPr>
        <w:tc>
          <w:tcPr>
            <w:tcW w:w="913" w:type="pct"/>
            <w:vMerge w:val="continue"/>
            <w:tcBorders>
              <w:left w:val="thinThickSmallGap" w:color="auto" w:sz="12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</w:p>
        </w:tc>
        <w:tc>
          <w:tcPr>
            <w:tcW w:w="985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spacing w:val="-6"/>
                <w:w w:val="90"/>
                <w:sz w:val="24"/>
              </w:rPr>
              <w:t>人员分工</w:t>
            </w:r>
          </w:p>
        </w:tc>
        <w:tc>
          <w:tcPr>
            <w:tcW w:w="3101" w:type="pct"/>
            <w:gridSpan w:val="4"/>
            <w:tcBorders>
              <w:left w:val="single" w:color="auto" w:sz="4" w:space="0"/>
              <w:bottom w:val="single" w:color="auto" w:sz="4" w:space="0"/>
              <w:right w:val="thinThickSmallGap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博士：机理分析和实验方法设计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55" w:hRule="atLeast"/>
          <w:jc w:val="center"/>
        </w:trPr>
        <w:tc>
          <w:tcPr>
            <w:tcW w:w="913" w:type="pct"/>
            <w:vMerge w:val="continue"/>
            <w:tcBorders>
              <w:left w:val="thinThickSmallGap" w:color="auto" w:sz="12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</w:p>
        </w:tc>
        <w:tc>
          <w:tcPr>
            <w:tcW w:w="985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spacing w:val="-6"/>
                <w:w w:val="90"/>
                <w:sz w:val="24"/>
              </w:rPr>
              <w:t>时间安排</w:t>
            </w:r>
          </w:p>
        </w:tc>
        <w:tc>
          <w:tcPr>
            <w:tcW w:w="3101" w:type="pct"/>
            <w:gridSpan w:val="4"/>
            <w:tcBorders>
              <w:left w:val="single" w:color="auto" w:sz="4" w:space="0"/>
              <w:right w:val="thinThickSmallGap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Cs w:val="21"/>
              </w:rPr>
              <w:t>第1周：熟悉项目问题和工作条件，文献调研分析；第2周：分析国外现有材料，进行配方设计；第3周-第4周：进行试验设计和性能测试；第5周-第6周：对结果进行分析，总结和改进。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87" w:hRule="atLeast"/>
          <w:jc w:val="center"/>
        </w:trPr>
        <w:tc>
          <w:tcPr>
            <w:tcW w:w="913" w:type="pct"/>
            <w:tcBorders>
              <w:left w:val="thinThickSmallGap" w:color="auto" w:sz="12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所需实践博士的学科方向</w:t>
            </w:r>
          </w:p>
        </w:tc>
        <w:tc>
          <w:tcPr>
            <w:tcW w:w="4086" w:type="pct"/>
            <w:gridSpan w:val="5"/>
            <w:tcBorders>
              <w:right w:val="thinThickSmallGap" w:color="auto" w:sz="12" w:space="0"/>
            </w:tcBorders>
            <w:vAlign w:val="center"/>
          </w:tcPr>
          <w:p>
            <w:pPr>
              <w:spacing w:line="400" w:lineRule="exact"/>
              <w:ind w:left="945" w:hanging="945" w:hangingChars="450"/>
              <w:jc w:val="center"/>
              <w:rPr>
                <w:spacing w:val="-6"/>
                <w:w w:val="90"/>
                <w:sz w:val="24"/>
              </w:rPr>
            </w:pPr>
            <w:r>
              <w:rPr>
                <w:rFonts w:hint="eastAsia"/>
                <w:szCs w:val="21"/>
              </w:rPr>
              <w:t>高分子材料、阻燃材料制备、高分子化学与物理、燃烧热相关专业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43" w:hRule="atLeast"/>
          <w:jc w:val="center"/>
        </w:trPr>
        <w:tc>
          <w:tcPr>
            <w:tcW w:w="913" w:type="pct"/>
            <w:tcBorders>
              <w:left w:val="thinThickSmallGap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w w:val="90"/>
                <w:sz w:val="24"/>
              </w:rPr>
              <w:t>需要实践博士</w:t>
            </w:r>
            <w:r>
              <w:rPr>
                <w:spacing w:val="-6"/>
                <w:w w:val="90"/>
                <w:sz w:val="24"/>
              </w:rPr>
              <w:t>事先做何准备工作</w:t>
            </w:r>
          </w:p>
        </w:tc>
        <w:tc>
          <w:tcPr>
            <w:tcW w:w="4086" w:type="pct"/>
            <w:gridSpan w:val="5"/>
            <w:tcBorders>
              <w:right w:val="thinThickSmallGap" w:color="auto" w:sz="12" w:space="0"/>
            </w:tcBorders>
          </w:tcPr>
          <w:p>
            <w:pPr>
              <w:spacing w:line="320" w:lineRule="exact"/>
              <w:ind w:firstLine="210" w:firstLineChars="100"/>
              <w:rPr>
                <w:kern w:val="0"/>
              </w:rPr>
            </w:pPr>
            <w:r>
              <w:rPr>
                <w:kern w:val="0"/>
              </w:rPr>
              <w:t xml:space="preserve">1. </w:t>
            </w:r>
            <w:r>
              <w:rPr>
                <w:rFonts w:hint="eastAsia"/>
                <w:kern w:val="0"/>
              </w:rPr>
              <w:t>了解高分子材料的阻燃机理及相关评价手段。</w:t>
            </w:r>
          </w:p>
          <w:p>
            <w:pPr>
              <w:spacing w:line="320" w:lineRule="exact"/>
              <w:ind w:firstLine="210" w:firstLineChars="100"/>
              <w:rPr>
                <w:spacing w:val="-6"/>
                <w:w w:val="90"/>
                <w:sz w:val="24"/>
              </w:rPr>
            </w:pPr>
            <w:r>
              <w:rPr>
                <w:kern w:val="0"/>
              </w:rPr>
              <w:t xml:space="preserve">2. </w:t>
            </w:r>
            <w:r>
              <w:rPr>
                <w:rFonts w:hint="eastAsia"/>
                <w:kern w:val="0"/>
              </w:rPr>
              <w:t>了解电缆材料阻燃试验方法及装备，成品电缆阻燃试验方法及装备</w:t>
            </w:r>
            <w:r>
              <w:rPr>
                <w:kern w:val="0"/>
              </w:rPr>
              <w:t>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15" w:hRule="atLeast"/>
          <w:jc w:val="center"/>
        </w:trPr>
        <w:tc>
          <w:tcPr>
            <w:tcW w:w="913" w:type="pct"/>
            <w:tcBorders>
              <w:left w:val="thinThickSmallGap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工作量预计</w:t>
            </w:r>
          </w:p>
        </w:tc>
        <w:tc>
          <w:tcPr>
            <w:tcW w:w="985" w:type="pct"/>
            <w:vAlign w:val="center"/>
          </w:tcPr>
          <w:p>
            <w:pPr>
              <w:spacing w:line="400" w:lineRule="exact"/>
              <w:jc w:val="center"/>
              <w:rPr>
                <w:rFonts w:hint="default"/>
                <w:spacing w:val="-6"/>
                <w:w w:val="90"/>
                <w:sz w:val="24"/>
                <w:lang w:val="en-US"/>
              </w:rPr>
            </w:pPr>
            <w:r>
              <w:rPr>
                <w:rFonts w:hint="eastAsia"/>
                <w:spacing w:val="-6"/>
                <w:w w:val="90"/>
                <w:sz w:val="24"/>
                <w:lang w:val="en-US" w:eastAsia="zh-CN"/>
              </w:rPr>
              <w:t>4-6周</w:t>
            </w:r>
            <w:bookmarkStart w:id="0" w:name="_GoBack"/>
            <w:bookmarkEnd w:id="0"/>
          </w:p>
        </w:tc>
        <w:tc>
          <w:tcPr>
            <w:tcW w:w="692" w:type="pct"/>
            <w:vAlign w:val="center"/>
          </w:tcPr>
          <w:p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需求人数</w:t>
            </w:r>
          </w:p>
        </w:tc>
        <w:tc>
          <w:tcPr>
            <w:tcW w:w="845" w:type="pct"/>
            <w:vAlign w:val="center"/>
          </w:tcPr>
          <w:p>
            <w:pPr>
              <w:snapToGrid w:val="0"/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rFonts w:hint="eastAsia"/>
                <w:spacing w:val="-6"/>
                <w:w w:val="90"/>
                <w:sz w:val="24"/>
              </w:rPr>
              <w:t>1</w:t>
            </w:r>
            <w:r>
              <w:rPr>
                <w:spacing w:val="-6"/>
                <w:w w:val="90"/>
                <w:sz w:val="24"/>
              </w:rPr>
              <w:t xml:space="preserve"> 个</w:t>
            </w:r>
          </w:p>
        </w:tc>
        <w:tc>
          <w:tcPr>
            <w:tcW w:w="806" w:type="pct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联系邮箱</w:t>
            </w:r>
          </w:p>
        </w:tc>
        <w:tc>
          <w:tcPr>
            <w:tcW w:w="757" w:type="pct"/>
            <w:tcBorders>
              <w:left w:val="single" w:color="auto" w:sz="4" w:space="0"/>
              <w:right w:val="thinThickSmallGap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rFonts w:hint="eastAsia"/>
                <w:spacing w:val="-6"/>
                <w:w w:val="90"/>
                <w:sz w:val="24"/>
              </w:rPr>
              <w:t>bsgfzp@baosheng.fun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0" w:hRule="atLeast"/>
          <w:jc w:val="center"/>
        </w:trPr>
        <w:tc>
          <w:tcPr>
            <w:tcW w:w="913" w:type="pct"/>
            <w:vMerge w:val="restart"/>
            <w:tcBorders>
              <w:left w:val="thinThickSmallGap" w:color="auto" w:sz="12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项目负责人</w:t>
            </w:r>
          </w:p>
        </w:tc>
        <w:tc>
          <w:tcPr>
            <w:tcW w:w="985" w:type="pct"/>
            <w:vMerge w:val="restart"/>
            <w:vAlign w:val="center"/>
          </w:tcPr>
          <w:p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rFonts w:hint="eastAsia"/>
                <w:spacing w:val="-6"/>
                <w:w w:val="90"/>
                <w:sz w:val="24"/>
              </w:rPr>
              <w:t>邵迅之</w:t>
            </w:r>
          </w:p>
        </w:tc>
        <w:tc>
          <w:tcPr>
            <w:tcW w:w="692" w:type="pct"/>
            <w:vMerge w:val="restart"/>
            <w:vAlign w:val="center"/>
          </w:tcPr>
          <w:p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职务</w:t>
            </w:r>
          </w:p>
        </w:tc>
        <w:tc>
          <w:tcPr>
            <w:tcW w:w="845" w:type="pct"/>
            <w:vMerge w:val="restart"/>
            <w:vAlign w:val="center"/>
          </w:tcPr>
          <w:p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rFonts w:hint="eastAsia"/>
                <w:spacing w:val="-6"/>
                <w:w w:val="90"/>
                <w:sz w:val="24"/>
              </w:rPr>
              <w:t>业务经理</w:t>
            </w:r>
          </w:p>
        </w:tc>
        <w:tc>
          <w:tcPr>
            <w:tcW w:w="806" w:type="pct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固定电话</w:t>
            </w:r>
          </w:p>
        </w:tc>
        <w:tc>
          <w:tcPr>
            <w:tcW w:w="757" w:type="pct"/>
            <w:tcBorders>
              <w:left w:val="single" w:color="auto" w:sz="4" w:space="0"/>
              <w:right w:val="thinThickSmallGap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4008288908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0" w:hRule="atLeast"/>
          <w:jc w:val="center"/>
        </w:trPr>
        <w:tc>
          <w:tcPr>
            <w:tcW w:w="913" w:type="pct"/>
            <w:vMerge w:val="continue"/>
            <w:tcBorders>
              <w:left w:val="thinThickSmallGap" w:color="auto" w:sz="12" w:space="0"/>
            </w:tcBorders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985" w:type="pct"/>
            <w:vMerge w:val="continue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692" w:type="pct"/>
            <w:vMerge w:val="continue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845" w:type="pct"/>
            <w:vMerge w:val="continue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806" w:type="pct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手机号码</w:t>
            </w:r>
          </w:p>
        </w:tc>
        <w:tc>
          <w:tcPr>
            <w:tcW w:w="757" w:type="pct"/>
            <w:tcBorders>
              <w:left w:val="single" w:color="auto" w:sz="4" w:space="0"/>
              <w:right w:val="thinThickSmallGap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rFonts w:hint="eastAsia"/>
                <w:spacing w:val="-6"/>
                <w:w w:val="90"/>
                <w:sz w:val="24"/>
              </w:rPr>
              <w:t>15358537733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02" w:hRule="atLeast"/>
          <w:jc w:val="center"/>
        </w:trPr>
        <w:tc>
          <w:tcPr>
            <w:tcW w:w="913" w:type="pct"/>
            <w:vMerge w:val="restart"/>
            <w:tcBorders>
              <w:left w:val="thinThickSmallGap" w:color="auto" w:sz="12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单位负责人</w:t>
            </w:r>
          </w:p>
        </w:tc>
        <w:tc>
          <w:tcPr>
            <w:tcW w:w="985" w:type="pct"/>
            <w:vMerge w:val="restart"/>
            <w:vAlign w:val="center"/>
          </w:tcPr>
          <w:p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rFonts w:hint="eastAsia"/>
                <w:spacing w:val="-6"/>
                <w:w w:val="90"/>
                <w:sz w:val="24"/>
              </w:rPr>
              <w:t>李明</w:t>
            </w:r>
          </w:p>
        </w:tc>
        <w:tc>
          <w:tcPr>
            <w:tcW w:w="692" w:type="pct"/>
            <w:vMerge w:val="restart"/>
            <w:vAlign w:val="center"/>
          </w:tcPr>
          <w:p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职务</w:t>
            </w:r>
          </w:p>
        </w:tc>
        <w:tc>
          <w:tcPr>
            <w:tcW w:w="845" w:type="pct"/>
            <w:vMerge w:val="restart"/>
            <w:vAlign w:val="center"/>
          </w:tcPr>
          <w:p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rFonts w:hint="eastAsia"/>
                <w:spacing w:val="-6"/>
                <w:w w:val="90"/>
                <w:sz w:val="24"/>
              </w:rPr>
              <w:t>副总工程师</w:t>
            </w:r>
          </w:p>
        </w:tc>
        <w:tc>
          <w:tcPr>
            <w:tcW w:w="806" w:type="pct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固定电话</w:t>
            </w:r>
          </w:p>
        </w:tc>
        <w:tc>
          <w:tcPr>
            <w:tcW w:w="757" w:type="pct"/>
            <w:tcBorders>
              <w:left w:val="single" w:color="auto" w:sz="4" w:space="0"/>
              <w:right w:val="thinThickSmallGap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4008288908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02" w:hRule="atLeast"/>
          <w:jc w:val="center"/>
        </w:trPr>
        <w:tc>
          <w:tcPr>
            <w:tcW w:w="913" w:type="pct"/>
            <w:vMerge w:val="continue"/>
            <w:tcBorders>
              <w:left w:val="thinThickSmallGap" w:color="auto" w:sz="12" w:space="0"/>
            </w:tcBorders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985" w:type="pct"/>
            <w:vMerge w:val="continue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692" w:type="pct"/>
            <w:vMerge w:val="continue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845" w:type="pct"/>
            <w:vMerge w:val="continue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806" w:type="pct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手机号码</w:t>
            </w:r>
          </w:p>
        </w:tc>
        <w:tc>
          <w:tcPr>
            <w:tcW w:w="757" w:type="pct"/>
            <w:tcBorders>
              <w:left w:val="single" w:color="auto" w:sz="4" w:space="0"/>
              <w:right w:val="thinThickSmallGap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rFonts w:hint="eastAsia"/>
                <w:spacing w:val="-6"/>
                <w:w w:val="90"/>
                <w:sz w:val="24"/>
              </w:rPr>
              <w:t>18952589551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15" w:hRule="atLeast"/>
          <w:jc w:val="center"/>
        </w:trPr>
        <w:tc>
          <w:tcPr>
            <w:tcW w:w="913" w:type="pct"/>
            <w:tcBorders>
              <w:left w:val="thinThickSmallGap" w:color="auto" w:sz="12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单位地址</w:t>
            </w:r>
          </w:p>
        </w:tc>
        <w:tc>
          <w:tcPr>
            <w:tcW w:w="4086" w:type="pct"/>
            <w:gridSpan w:val="5"/>
            <w:tcBorders>
              <w:right w:val="thinThickSmallGap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rFonts w:hint="eastAsia"/>
                <w:spacing w:val="-6"/>
                <w:w w:val="90"/>
                <w:sz w:val="24"/>
              </w:rPr>
              <w:t>宝应县苏中中路1号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251" w:hRule="atLeast"/>
          <w:jc w:val="center"/>
        </w:trPr>
        <w:tc>
          <w:tcPr>
            <w:tcW w:w="913" w:type="pct"/>
            <w:tcBorders>
              <w:left w:val="thinThickSmallGap" w:color="auto" w:sz="12" w:space="0"/>
            </w:tcBorders>
          </w:tcPr>
          <w:p>
            <w:pPr>
              <w:snapToGrid w:val="0"/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单位准备工作(请打√)</w:t>
            </w:r>
          </w:p>
        </w:tc>
        <w:tc>
          <w:tcPr>
            <w:tcW w:w="4086" w:type="pct"/>
            <w:gridSpan w:val="5"/>
            <w:tcBorders>
              <w:bottom w:val="single" w:color="auto" w:sz="4" w:space="0"/>
              <w:right w:val="thinThickSmallGap" w:color="auto" w:sz="12" w:space="0"/>
            </w:tcBorders>
          </w:tcPr>
          <w:p>
            <w:pPr>
              <w:spacing w:line="400" w:lineRule="exact"/>
              <w:ind w:firstLine="120" w:firstLineChars="50"/>
              <w:rPr>
                <w:sz w:val="24"/>
              </w:rPr>
            </w:pPr>
            <w:r>
              <w:rPr>
                <w:sz w:val="24"/>
              </w:rPr>
              <w:t>1、能否提供合适项目课题的详细需求             是</w:t>
            </w:r>
            <w:r>
              <w:rPr>
                <w:sz w:val="24"/>
              </w:rPr>
              <w:sym w:font="Wingdings" w:char="00FE"/>
            </w:r>
            <w:r>
              <w:rPr>
                <w:sz w:val="24"/>
              </w:rPr>
              <w:t xml:space="preserve">    否</w:t>
            </w:r>
            <w:r>
              <w:rPr>
                <w:sz w:val="24"/>
              </w:rPr>
              <w:sym w:font="Wingdings" w:char="F0A8"/>
            </w:r>
          </w:p>
          <w:p>
            <w:pPr>
              <w:spacing w:line="400" w:lineRule="exact"/>
              <w:ind w:firstLine="120" w:firstLineChars="50"/>
              <w:rPr>
                <w:sz w:val="24"/>
              </w:rPr>
            </w:pPr>
            <w:r>
              <w:rPr>
                <w:sz w:val="24"/>
              </w:rPr>
              <w:t>2、能否指定专人负责研究生实践期间的管理与指导 是</w:t>
            </w:r>
            <w:r>
              <w:rPr>
                <w:sz w:val="24"/>
              </w:rPr>
              <w:sym w:font="Wingdings" w:char="00FE"/>
            </w:r>
            <w:r>
              <w:rPr>
                <w:sz w:val="24"/>
              </w:rPr>
              <w:t xml:space="preserve">    否</w:t>
            </w:r>
            <w:r>
              <w:rPr>
                <w:sz w:val="24"/>
              </w:rPr>
              <w:sym w:font="Wingdings" w:char="F0A8"/>
            </w:r>
          </w:p>
          <w:p>
            <w:pPr>
              <w:spacing w:line="400" w:lineRule="exact"/>
              <w:ind w:firstLine="120" w:firstLineChars="50"/>
              <w:jc w:val="left"/>
              <w:rPr>
                <w:sz w:val="24"/>
              </w:rPr>
            </w:pPr>
            <w:r>
              <w:rPr>
                <w:sz w:val="24"/>
              </w:rPr>
              <w:t>3、能否落实必要的工作环境和食宿等生活条件     是</w:t>
            </w:r>
            <w:r>
              <w:rPr>
                <w:sz w:val="24"/>
              </w:rPr>
              <w:sym w:font="Wingdings" w:char="00FE"/>
            </w:r>
            <w:r>
              <w:rPr>
                <w:sz w:val="24"/>
              </w:rPr>
              <w:t xml:space="preserve">    否</w:t>
            </w:r>
            <w:r>
              <w:rPr>
                <w:sz w:val="24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8" w:hRule="atLeast"/>
          <w:jc w:val="center"/>
        </w:trPr>
        <w:tc>
          <w:tcPr>
            <w:tcW w:w="913" w:type="pct"/>
            <w:tcBorders>
              <w:left w:val="thinThickSmallGap" w:color="auto" w:sz="12" w:space="0"/>
              <w:bottom w:val="thinThickSmallGap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申报单位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签章</w:t>
            </w:r>
          </w:p>
        </w:tc>
        <w:tc>
          <w:tcPr>
            <w:tcW w:w="1678" w:type="pct"/>
            <w:gridSpan w:val="2"/>
            <w:tcBorders>
              <w:bottom w:val="thinThickSmallGap" w:color="auto" w:sz="12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宝胜科技创新股份有限公司</w:t>
            </w:r>
          </w:p>
        </w:tc>
        <w:tc>
          <w:tcPr>
            <w:tcW w:w="845" w:type="pct"/>
            <w:tcBorders>
              <w:left w:val="single" w:color="auto" w:sz="4" w:space="0"/>
              <w:bottom w:val="thinThickSmallGap" w:color="auto" w:sz="12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人社局（管委会）审核意见</w:t>
            </w:r>
          </w:p>
        </w:tc>
        <w:tc>
          <w:tcPr>
            <w:tcW w:w="1563" w:type="pct"/>
            <w:gridSpan w:val="2"/>
            <w:tcBorders>
              <w:left w:val="single" w:color="auto" w:sz="4" w:space="0"/>
              <w:bottom w:val="thinThickSmallGap" w:color="auto" w:sz="12" w:space="0"/>
              <w:right w:val="thinThickSmallGap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</w:tr>
    </w:tbl>
    <w:p>
      <w:pPr>
        <w:spacing w:line="300" w:lineRule="exact"/>
      </w:pPr>
      <w:r>
        <w:rPr>
          <w:rFonts w:eastAsia="方正仿宋_GBK"/>
          <w:b/>
          <w:szCs w:val="21"/>
        </w:rPr>
        <w:t>说明：（1）请详细填写所有内容；（2）本表填写上交后，原则上不得取消项目；（3）项目联系人应知情并了解学生所要承担项目的具体要求和内容，以便双方前期联系，做好资料、信息等准备工作；（4）请仔细阅读2024年“百名博士扬州实践”接收单位须知</w:t>
      </w:r>
    </w:p>
    <w:sectPr>
      <w:type w:val="continuous"/>
      <w:pgSz w:w="11906" w:h="16838"/>
      <w:pgMar w:top="1417" w:right="1474" w:bottom="1531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djOTAxZDRiZDNhZTc2MGU1YzJmYTcyMzg5NjBjYmIifQ=="/>
  </w:docVars>
  <w:rsids>
    <w:rsidRoot w:val="00FA1CF7"/>
    <w:rsid w:val="00115209"/>
    <w:rsid w:val="00323138"/>
    <w:rsid w:val="0060741C"/>
    <w:rsid w:val="00614361"/>
    <w:rsid w:val="00700618"/>
    <w:rsid w:val="00773529"/>
    <w:rsid w:val="008B5B3A"/>
    <w:rsid w:val="008E18A0"/>
    <w:rsid w:val="009D1981"/>
    <w:rsid w:val="009F7012"/>
    <w:rsid w:val="00C62B2E"/>
    <w:rsid w:val="00F54D2B"/>
    <w:rsid w:val="00FA1CF7"/>
    <w:rsid w:val="2AE71A1E"/>
    <w:rsid w:val="342B73E4"/>
    <w:rsid w:val="4C3122D8"/>
    <w:rsid w:val="513B2A5B"/>
    <w:rsid w:val="76496DE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7"/>
    <w:qFormat/>
    <w:uiPriority w:val="0"/>
    <w:rPr>
      <w:sz w:val="28"/>
      <w:szCs w:val="20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正文文本 Char"/>
    <w:basedOn w:val="6"/>
    <w:link w:val="2"/>
    <w:qFormat/>
    <w:uiPriority w:val="0"/>
    <w:rPr>
      <w:rFonts w:ascii="Times New Roman" w:hAnsi="Times New Roman" w:eastAsia="宋体" w:cs="Times New Roman"/>
      <w:sz w:val="28"/>
      <w:szCs w:val="20"/>
    </w:rPr>
  </w:style>
  <w:style w:type="character" w:customStyle="1" w:styleId="8">
    <w:name w:val="页眉 Char"/>
    <w:basedOn w:val="6"/>
    <w:link w:val="4"/>
    <w:semiHidden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Char"/>
    <w:basedOn w:val="6"/>
    <w:link w:val="3"/>
    <w:semiHidden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152</Words>
  <Characters>873</Characters>
  <Lines>7</Lines>
  <Paragraphs>2</Paragraphs>
  <TotalTime>11</TotalTime>
  <ScaleCrop>false</ScaleCrop>
  <LinksUpToDate>false</LinksUpToDate>
  <CharactersWithSpaces>1023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2024-03-07T06:39:00Z</dcterms:created>
  <dc:creator>MM</dc:creator>
  <cp:lastModifiedBy>果儿~妈</cp:lastModifiedBy>
  <dcterms:modified xsi:type="dcterms:W3CDTF">2024-04-15T07:57:40Z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40F06D5414B841C3926453316E18FC94_13</vt:lpwstr>
  </property>
</Properties>
</file>