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F09B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36"/>
          <w:szCs w:val="36"/>
          <w:u w:val="none"/>
        </w:rPr>
      </w:pPr>
    </w:p>
    <w:p w14:paraId="46B60213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</w:rPr>
        <w:t>2024-2025年度补充医疗</w:t>
      </w:r>
    </w:p>
    <w:p w14:paraId="76F75BA8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  <w:t>（学生儿童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  <w:lang w:val="en-US" w:eastAsia="zh-CN"/>
        </w:rPr>
        <w:t>300元A保险组合计划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  <w:t>）</w:t>
      </w:r>
    </w:p>
    <w:p w14:paraId="0D379A95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一、补充医疗（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学生儿童300元A保险组合计划）主要以疾病住院二次报销，意外伤害医疗为主、住院津贴每天补助50元，狂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犬疫苗、牙齿意外伤害特定修复、微创美容缝合、交通意外险等综合性保险，适用范围不局限于学校内使用、家里、旅途中、全国范围内均可报销（不包含港澳台地区）。</w:t>
      </w:r>
    </w:p>
    <w:p w14:paraId="7CE8A489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保费金额：补充医疗（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学生儿童300元A保险组合计划）300元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/年</w:t>
      </w:r>
    </w:p>
    <w:p w14:paraId="016FAFE9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保险生效日期：2024年9月1日——2025年8月31日</w:t>
      </w:r>
    </w:p>
    <w:p w14:paraId="32747B98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二、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办理流程：</w:t>
      </w:r>
    </w:p>
    <w:p w14:paraId="5301D13F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投保年龄未满18 周岁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的学生，可以由家长做投保人学生做被保险人线上投保或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需联系工作人员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进行线下纸质投保。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35周岁以上学生需联系工作人员进行线下纸质投保。</w:t>
      </w:r>
    </w:p>
    <w:p w14:paraId="2C2BE9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75565</wp:posOffset>
            </wp:positionV>
            <wp:extent cx="1287145" cy="1271905"/>
            <wp:effectExtent l="0" t="0" r="8255" b="444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0CCF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</w:p>
    <w:p w14:paraId="57736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leftChars="250" w:right="600" w:rightChars="25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u w:val="single"/>
          <w:lang w:eastAsia="zh-CN"/>
        </w:rPr>
      </w:pPr>
    </w:p>
    <w:p w14:paraId="3300D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leftChars="250" w:right="600" w:rightChars="25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u w:val="single"/>
          <w:lang w:eastAsia="zh-CN"/>
        </w:rPr>
      </w:pPr>
    </w:p>
    <w:p w14:paraId="4B70C9AB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扫描二维码或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关注“中国人寿股份哈尔滨分公司服务号”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学生服务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学生服务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大学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→哈尔滨工业大学→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补充医疗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选择年级、班级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购买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确认并继续购买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输入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工号后四位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0003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 xml:space="preserve"> 同意并开始投保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填写投保人信息姓名、身份证号、手机号、验证码、关系选择本人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，学生本人投保与微信实名认证为同一人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（如未满 18周岁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,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投保信息需填写父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亲或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母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亲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信息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投保人与微信实名认证为同一人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，关系选择子女，被保险人信息填写学生信息）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→客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户信息共享条款接受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本人已阅读并同意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（其中最后一项健康告知如无重大疾病均选否，上滑至最下方选择以上全否）→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保费试算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确认并投保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  <w:t>支付保险费300元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→订单详情→下载电子保单</w:t>
      </w:r>
    </w:p>
    <w:p w14:paraId="66AF78D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720" w:leftChars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三、保险方案</w:t>
      </w:r>
    </w:p>
    <w:tbl>
      <w:tblPr>
        <w:tblStyle w:val="3"/>
        <w:tblpPr w:leftFromText="180" w:rightFromText="180" w:vertAnchor="text" w:horzAnchor="page" w:tblpX="518" w:tblpY="668"/>
        <w:tblOverlap w:val="never"/>
        <w:tblW w:w="10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721"/>
        <w:gridCol w:w="2154"/>
        <w:gridCol w:w="4548"/>
      </w:tblGrid>
      <w:tr w14:paraId="6D4D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6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2024-2025年度补充医疗保险承保方案</w:t>
            </w:r>
          </w:p>
        </w:tc>
      </w:tr>
      <w:tr w14:paraId="18A0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E3EA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8486C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83F1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2987C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4299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保险期间:1年</w:t>
            </w:r>
          </w:p>
        </w:tc>
        <w:tc>
          <w:tcPr>
            <w:tcW w:w="6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6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保险费:300元</w:t>
            </w:r>
          </w:p>
        </w:tc>
      </w:tr>
      <w:tr w14:paraId="61FB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7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意外/            疾病医疗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保险责任名称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保险金额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6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 w14:paraId="5B69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5D59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身故责任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0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100000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D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未成年人超保额的，替换为等额意外伤残保额</w:t>
            </w:r>
          </w:p>
        </w:tc>
      </w:tr>
      <w:tr w14:paraId="377E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9D7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意外伤残保险责任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9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100000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9482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41C6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464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F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意外医疗责任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80000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0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基本医保报销后，剩余医保范围内金额免赔额0元，给付比例100% 基本医保范围内未报销，免赔额0元，给付比例90%</w:t>
            </w:r>
          </w:p>
        </w:tc>
      </w:tr>
      <w:tr w14:paraId="61F3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EABF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狂犬疫苗接种医疗责任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7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4000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9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基本医保报销后，剩余医保范围内金额免赔额0元，给付比例100% 基本医保范围内未报销，免赔额0元，给付比例99%</w:t>
            </w:r>
          </w:p>
        </w:tc>
      </w:tr>
      <w:tr w14:paraId="4884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89CB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F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创伤性牙齿修复医疗责任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10000</w:t>
            </w:r>
          </w:p>
          <w:p w14:paraId="679E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（单次限额5000元）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6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基本医保报销后，剩余医保范围内金额免赔额0元，给付比例100% 基本医保范围内未报销，免赔额0元，给付比例99% 单次限额5000元</w:t>
            </w:r>
          </w:p>
        </w:tc>
      </w:tr>
      <w:tr w14:paraId="1C58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539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1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特定牙齿缺损定额给付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6000</w:t>
            </w:r>
          </w:p>
          <w:p w14:paraId="626C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（单颗限额2000元）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最高给付三颗，单颗牙齿保额2000元</w:t>
            </w:r>
          </w:p>
        </w:tc>
      </w:tr>
      <w:tr w14:paraId="30CF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C10F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B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微创美容缝合医疗责任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F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基本医保报销后，剩余医保范围内金额免赔额0元，给付比例100% 基本医保范围内未报销，免赔额0元，给付比例99%</w:t>
            </w:r>
          </w:p>
        </w:tc>
      </w:tr>
      <w:tr w14:paraId="638C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DF5A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B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住院医疗责任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100000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基本医保报销后，剩余医保范围内金额免赔额0元，给付比例100% 基本医保范围内未报销，免赔额0元，给付比例60%</w:t>
            </w:r>
          </w:p>
        </w:tc>
      </w:tr>
      <w:tr w14:paraId="5454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2F34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1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住院定额给付责任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9000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2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50元/日  单次上限90日，全年累计180日</w:t>
            </w:r>
          </w:p>
        </w:tc>
      </w:tr>
      <w:tr w14:paraId="78E3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交通意外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飞机—乘客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500000</w:t>
            </w:r>
          </w:p>
        </w:tc>
        <w:tc>
          <w:tcPr>
            <w:tcW w:w="4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未成年人超保额的，替换为双倍飞机保额</w:t>
            </w:r>
          </w:p>
        </w:tc>
      </w:tr>
      <w:tr w14:paraId="5162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0D7E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轨道—乘客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100000</w:t>
            </w:r>
          </w:p>
        </w:tc>
        <w:tc>
          <w:tcPr>
            <w:tcW w:w="4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578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3B86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EF3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水上—乘客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100000</w:t>
            </w:r>
          </w:p>
        </w:tc>
        <w:tc>
          <w:tcPr>
            <w:tcW w:w="4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79A9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0416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2EA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机动车—乘客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50000</w:t>
            </w:r>
          </w:p>
        </w:tc>
        <w:tc>
          <w:tcPr>
            <w:tcW w:w="4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381F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5CA4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668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6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合计保额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1161000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D7D7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2A08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9A00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9FEF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326D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8FE5D">
            <w:p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 w14:paraId="3055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 w:right="720" w:rightChars="3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四、报销流程</w:t>
      </w:r>
    </w:p>
    <w:p w14:paraId="0CD96273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需到二级及二级以上公立医院就医（包括校医院）</w:t>
      </w:r>
    </w:p>
    <w:p w14:paraId="24FE5E04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报销手续：</w:t>
      </w:r>
    </w:p>
    <w:p w14:paraId="3020377E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意外门诊医疗：门诊手册（门诊病治），费用清单，收据，本人身份证，本人银行卡（5大国有银行）。每次看病三样缺一不可，例如看5次病需要5套手续，治疗结束统一报销。</w:t>
      </w:r>
    </w:p>
    <w:p w14:paraId="612F8494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住院医疗：医保报销后需提供住院病历，诊断书，费用清单，收据，本人身份证，本人银行卡（5大国有银行）</w:t>
      </w:r>
    </w:p>
    <w:p w14:paraId="7D9AA4A4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下载中国人寿寿险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APP，进入我的理赔，上传以上材料，可在线上直接报销，特殊情况如有提示需提供材料原件，请前往就近中国人寿柜面递交材料。</w:t>
      </w:r>
    </w:p>
    <w:p w14:paraId="6364DB23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咨询电话：15846583578、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13030047718</w:t>
      </w:r>
    </w:p>
    <w:p w14:paraId="016ACB52">
      <w:pPr>
        <w:widowControl/>
        <w:spacing w:beforeLines="0" w:afterLines="0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出险后24小时内拨打95519电话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eastAsia="zh-CN" w:bidi="ar"/>
        </w:rPr>
        <w:t>进行备案。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D6FCC73-2A2F-4DBF-A90C-4E69DED68C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GNiMjUzYzk1MjhkYmM2ZDM1ZTk1ZjU2Y2JkZGUifQ=="/>
  </w:docVars>
  <w:rsids>
    <w:rsidRoot w:val="00000000"/>
    <w:rsid w:val="03252803"/>
    <w:rsid w:val="03481329"/>
    <w:rsid w:val="0C8F1FE8"/>
    <w:rsid w:val="5DC825E8"/>
    <w:rsid w:val="5FFD1E06"/>
    <w:rsid w:val="63D763CF"/>
    <w:rsid w:val="687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1487</Characters>
  <Lines>0</Lines>
  <Paragraphs>0</Paragraphs>
  <TotalTime>49</TotalTime>
  <ScaleCrop>false</ScaleCrop>
  <LinksUpToDate>false</LinksUpToDate>
  <CharactersWithSpaces>1512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2024-09-24T06:04:00Z</dcterms:created>
  <dc:creator>Administrator</dc:creator>
  <cp:lastModifiedBy>校医院医务科 张凌燕</cp:lastModifiedBy>
  <cp:lastPrinted>2024-09-24T07:46:00Z</cp:lastPrinted>
  <dcterms:modified xsi:type="dcterms:W3CDTF">2024-09-30T00:43:52Z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65032E6001B24F2587776067764B009F_12</vt:lpwstr>
  </property>
</Properties>
</file>