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A17AB">
      <w:pPr>
        <w:jc w:val="center"/>
        <w:rPr>
          <w:rFonts w:hint="eastAsia" w:asciiTheme="majorEastAsia" w:hAnsiTheme="majorEastAsia" w:eastAsiaTheme="majorEastAsia"/>
          <w:b/>
          <w:bCs/>
          <w:color w:val="auto"/>
          <w:sz w:val="44"/>
          <w:szCs w:val="44"/>
          <w:highlight w:val="none"/>
          <w:lang w:eastAsia="zh-CN"/>
        </w:rPr>
      </w:pPr>
      <w:r>
        <w:rPr>
          <w:rFonts w:hint="eastAsia" w:asciiTheme="majorEastAsia" w:hAnsiTheme="majorEastAsia" w:eastAsiaTheme="majorEastAsia"/>
          <w:b/>
          <w:bCs/>
          <w:color w:val="auto"/>
          <w:sz w:val="44"/>
          <w:szCs w:val="44"/>
          <w:highlight w:val="none"/>
          <w:lang w:val="en-US" w:eastAsia="zh-CN"/>
        </w:rPr>
        <w:t xml:space="preserve"> 2024年</w:t>
      </w:r>
      <w:r>
        <w:rPr>
          <w:rFonts w:hint="eastAsia" w:asciiTheme="majorEastAsia" w:hAnsiTheme="majorEastAsia" w:eastAsiaTheme="majorEastAsia"/>
          <w:b/>
          <w:bCs/>
          <w:color w:val="auto"/>
          <w:sz w:val="44"/>
          <w:szCs w:val="44"/>
          <w:highlight w:val="none"/>
        </w:rPr>
        <w:t>哈尔滨市</w:t>
      </w:r>
      <w:r>
        <w:rPr>
          <w:rFonts w:hint="eastAsia" w:asciiTheme="majorEastAsia" w:hAnsiTheme="majorEastAsia" w:eastAsiaTheme="majorEastAsia"/>
          <w:b/>
          <w:bCs/>
          <w:color w:val="auto"/>
          <w:sz w:val="44"/>
          <w:szCs w:val="44"/>
          <w:highlight w:val="none"/>
          <w:lang w:eastAsia="zh-CN"/>
        </w:rPr>
        <w:t>结算待遇</w:t>
      </w:r>
    </w:p>
    <w:p w14:paraId="792CEB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w w:val="100"/>
          <w:sz w:val="32"/>
          <w:szCs w:val="32"/>
          <w:highlight w:val="none"/>
          <w:lang w:val="en-US" w:eastAsia="zh-CN"/>
        </w:rPr>
      </w:pPr>
    </w:p>
    <w:p w14:paraId="489BD9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100"/>
          <w:sz w:val="44"/>
          <w:szCs w:val="44"/>
          <w:highlight w:val="none"/>
          <w:lang w:val="en-US" w:eastAsia="zh-CN"/>
        </w:rPr>
      </w:pPr>
      <w:r>
        <w:rPr>
          <w:rFonts w:hint="eastAsia" w:ascii="宋体" w:hAnsi="宋体" w:eastAsia="宋体" w:cs="宋体"/>
          <w:b/>
          <w:bCs/>
          <w:color w:val="auto"/>
          <w:w w:val="100"/>
          <w:sz w:val="44"/>
          <w:szCs w:val="44"/>
          <w:highlight w:val="none"/>
          <w:lang w:val="en-US" w:eastAsia="zh-CN"/>
        </w:rPr>
        <w:t>居民待遇篇</w:t>
      </w:r>
    </w:p>
    <w:p w14:paraId="2DF62430">
      <w:pPr>
        <w:spacing w:line="600" w:lineRule="exact"/>
        <w:ind w:firstLine="640" w:firstLineChars="20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城乡居民</w:t>
      </w:r>
      <w:r>
        <w:rPr>
          <w:rFonts w:hint="eastAsia" w:ascii="仿宋" w:hAnsi="仿宋" w:eastAsia="仿宋" w:cs="仿宋"/>
          <w:color w:val="auto"/>
          <w:sz w:val="32"/>
          <w:szCs w:val="32"/>
          <w:highlight w:val="none"/>
          <w:lang w:eastAsia="zh-CN"/>
        </w:rPr>
        <w:t>医保</w:t>
      </w:r>
      <w:r>
        <w:rPr>
          <w:rFonts w:hint="eastAsia" w:ascii="仿宋" w:hAnsi="仿宋" w:eastAsia="仿宋" w:cs="仿宋"/>
          <w:color w:val="auto"/>
          <w:sz w:val="32"/>
          <w:szCs w:val="32"/>
          <w:highlight w:val="none"/>
        </w:rPr>
        <w:t>待遇包括住院医疗待遇、特殊疾病门诊待遇、特殊慢性病门诊待遇、普通门诊待遇、生育医疗待遇、意外伤害门诊医疗待遇、</w:t>
      </w:r>
      <w:r>
        <w:rPr>
          <w:rFonts w:hint="eastAsia" w:ascii="仿宋" w:hAnsi="仿宋" w:eastAsia="仿宋" w:cs="仿宋"/>
          <w:color w:val="auto"/>
          <w:sz w:val="32"/>
          <w:szCs w:val="32"/>
          <w:highlight w:val="none"/>
          <w:lang w:eastAsia="zh-CN"/>
        </w:rPr>
        <w:t>高血压糖尿病门诊医疗待遇</w:t>
      </w:r>
      <w:r>
        <w:rPr>
          <w:rFonts w:hint="eastAsia" w:ascii="仿宋" w:hAnsi="仿宋" w:eastAsia="仿宋" w:cs="仿宋"/>
          <w:color w:val="auto"/>
          <w:sz w:val="32"/>
          <w:szCs w:val="32"/>
          <w:highlight w:val="none"/>
        </w:rPr>
        <w:t>。</w:t>
      </w:r>
    </w:p>
    <w:p w14:paraId="7E54199A">
      <w:pPr>
        <w:spacing w:line="600" w:lineRule="exact"/>
        <w:ind w:firstLine="964" w:firstLineChars="300"/>
        <w:contextualSpacing/>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最高支付限额</w:t>
      </w:r>
    </w:p>
    <w:p w14:paraId="17DC8C36">
      <w:pPr>
        <w:spacing w:line="600" w:lineRule="exact"/>
        <w:ind w:firstLine="640" w:firstLineChars="20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参保居民一个年度内发生符合城乡居民</w:t>
      </w:r>
      <w:r>
        <w:rPr>
          <w:rFonts w:hint="eastAsia" w:ascii="仿宋" w:hAnsi="仿宋" w:eastAsia="仿宋" w:cs="仿宋"/>
          <w:color w:val="auto"/>
          <w:sz w:val="32"/>
          <w:szCs w:val="32"/>
          <w:highlight w:val="none"/>
          <w:lang w:eastAsia="zh-CN"/>
        </w:rPr>
        <w:t>医保</w:t>
      </w:r>
      <w:r>
        <w:rPr>
          <w:rFonts w:hint="eastAsia" w:ascii="仿宋" w:hAnsi="仿宋" w:eastAsia="仿宋" w:cs="仿宋"/>
          <w:color w:val="auto"/>
          <w:sz w:val="32"/>
          <w:szCs w:val="32"/>
          <w:highlight w:val="none"/>
        </w:rPr>
        <w:t>统筹基金支付范围（以下称“统筹基金支付范围”）的医疗费用，城乡居民</w:t>
      </w:r>
      <w:r>
        <w:rPr>
          <w:rFonts w:hint="eastAsia" w:ascii="仿宋" w:hAnsi="仿宋" w:eastAsia="仿宋" w:cs="仿宋"/>
          <w:color w:val="auto"/>
          <w:sz w:val="32"/>
          <w:szCs w:val="32"/>
          <w:highlight w:val="none"/>
          <w:lang w:eastAsia="zh-CN"/>
        </w:rPr>
        <w:t>医保</w:t>
      </w:r>
      <w:r>
        <w:rPr>
          <w:rFonts w:hint="eastAsia" w:ascii="仿宋" w:hAnsi="仿宋" w:eastAsia="仿宋" w:cs="仿宋"/>
          <w:color w:val="auto"/>
          <w:sz w:val="32"/>
          <w:szCs w:val="32"/>
          <w:highlight w:val="none"/>
        </w:rPr>
        <w:t>统筹基金（以下称“统筹基金”）最高支付限额为18万元</w:t>
      </w:r>
      <w:r>
        <w:rPr>
          <w:rFonts w:hint="eastAsia" w:ascii="仿宋" w:hAnsi="仿宋" w:eastAsia="仿宋" w:cs="仿宋"/>
          <w:color w:val="auto"/>
          <w:sz w:val="32"/>
          <w:szCs w:val="32"/>
          <w:highlight w:val="none"/>
          <w:lang w:eastAsia="zh-CN"/>
        </w:rPr>
        <w:t>。</w:t>
      </w:r>
    </w:p>
    <w:p w14:paraId="005C9C03">
      <w:pPr>
        <w:spacing w:line="600" w:lineRule="exact"/>
        <w:ind w:firstLine="964" w:firstLineChars="300"/>
        <w:contextualSpacing/>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统筹基金支付范围</w:t>
      </w:r>
    </w:p>
    <w:p w14:paraId="11001C08">
      <w:pPr>
        <w:spacing w:line="600" w:lineRule="exact"/>
        <w:ind w:firstLine="640" w:firstLineChars="200"/>
        <w:contextualSpacing/>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rPr>
        <w:t>统筹基金支付范围包括《黑龙江省基本医疗保险、工伤保险和生育保险药品目录》、《黑龙江省基本医疗保险、工伤</w:t>
      </w:r>
      <w:bookmarkStart w:id="0" w:name="_GoBack"/>
      <w:bookmarkEnd w:id="0"/>
      <w:r>
        <w:rPr>
          <w:rFonts w:hint="eastAsia" w:ascii="仿宋" w:hAnsi="仿宋" w:eastAsia="仿宋" w:cs="仿宋"/>
          <w:color w:val="auto"/>
          <w:sz w:val="32"/>
          <w:szCs w:val="32"/>
          <w:highlight w:val="none"/>
        </w:rPr>
        <w:t>保险和生育保险诊疗项目和医疗服务设施项目目录》及社会保险法律法规规定的药品、诊疗项目和服务设施项目。</w:t>
      </w:r>
    </w:p>
    <w:p w14:paraId="6577E9B6">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住院医疗待遇</w:t>
      </w:r>
    </w:p>
    <w:tbl>
      <w:tblPr>
        <w:tblStyle w:val="7"/>
        <w:tblW w:w="9139" w:type="dxa"/>
        <w:tblInd w:w="-298" w:type="dxa"/>
        <w:tblLayout w:type="fixed"/>
        <w:tblCellMar>
          <w:top w:w="0" w:type="dxa"/>
          <w:left w:w="108" w:type="dxa"/>
          <w:bottom w:w="0" w:type="dxa"/>
          <w:right w:w="108" w:type="dxa"/>
        </w:tblCellMar>
      </w:tblPr>
      <w:tblGrid>
        <w:gridCol w:w="1117"/>
        <w:gridCol w:w="2901"/>
        <w:gridCol w:w="900"/>
        <w:gridCol w:w="2004"/>
        <w:gridCol w:w="2217"/>
      </w:tblGrid>
      <w:tr w14:paraId="22DFD2A0">
        <w:tblPrEx>
          <w:tblCellMar>
            <w:top w:w="0" w:type="dxa"/>
            <w:left w:w="108" w:type="dxa"/>
            <w:bottom w:w="0" w:type="dxa"/>
            <w:right w:w="108" w:type="dxa"/>
          </w:tblCellMar>
        </w:tblPrEx>
        <w:trPr>
          <w:trHeight w:val="756" w:hRule="atLeast"/>
        </w:trPr>
        <w:tc>
          <w:tcPr>
            <w:tcW w:w="4018" w:type="dxa"/>
            <w:gridSpan w:val="2"/>
            <w:vMerge w:val="restart"/>
            <w:tcBorders>
              <w:top w:val="single" w:color="auto" w:sz="4" w:space="0"/>
              <w:left w:val="single" w:color="auto" w:sz="4" w:space="0"/>
              <w:right w:val="single" w:color="auto" w:sz="4" w:space="0"/>
            </w:tcBorders>
            <w:shd w:val="clear" w:color="auto" w:fill="auto"/>
            <w:vAlign w:val="center"/>
          </w:tcPr>
          <w:p w14:paraId="510A89B2">
            <w:pPr>
              <w:adjustRightInd/>
              <w:snapToGrid/>
              <w:spacing w:after="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就医类别</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8CEE3">
            <w:pPr>
              <w:adjustRightInd/>
              <w:snapToGrid/>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住院起付标准（元）</w:t>
            </w:r>
          </w:p>
        </w:tc>
        <w:tc>
          <w:tcPr>
            <w:tcW w:w="42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CF9D38">
            <w:pPr>
              <w:adjustRightInd/>
              <w:snapToGrid/>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起付标准以上至最高支付限额以下统筹基金支付比例</w:t>
            </w:r>
          </w:p>
        </w:tc>
      </w:tr>
      <w:tr w14:paraId="6A3B7066">
        <w:tblPrEx>
          <w:tblCellMar>
            <w:top w:w="0" w:type="dxa"/>
            <w:left w:w="108" w:type="dxa"/>
            <w:bottom w:w="0" w:type="dxa"/>
            <w:right w:w="108" w:type="dxa"/>
          </w:tblCellMar>
        </w:tblPrEx>
        <w:trPr>
          <w:trHeight w:val="811" w:hRule="atLeast"/>
        </w:trPr>
        <w:tc>
          <w:tcPr>
            <w:tcW w:w="4018" w:type="dxa"/>
            <w:gridSpan w:val="2"/>
            <w:vMerge w:val="continue"/>
            <w:tcBorders>
              <w:left w:val="single" w:color="auto" w:sz="4" w:space="0"/>
              <w:bottom w:val="single" w:color="auto" w:sz="4" w:space="0"/>
              <w:right w:val="single" w:color="auto" w:sz="4" w:space="0"/>
            </w:tcBorders>
            <w:vAlign w:val="center"/>
          </w:tcPr>
          <w:p w14:paraId="13A20549">
            <w:pPr>
              <w:adjustRightInd/>
              <w:snapToGrid/>
              <w:spacing w:after="0"/>
              <w:rPr>
                <w:rFonts w:hint="eastAsia" w:ascii="仿宋" w:hAnsi="仿宋" w:eastAsia="仿宋" w:cs="仿宋"/>
                <w:b/>
                <w:bCs/>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406433D">
            <w:pPr>
              <w:adjustRightInd/>
              <w:snapToGrid/>
              <w:spacing w:after="0"/>
              <w:rPr>
                <w:rFonts w:hint="eastAsia" w:ascii="仿宋" w:hAnsi="仿宋" w:eastAsia="仿宋" w:cs="仿宋"/>
                <w:b/>
                <w:bCs/>
                <w:color w:val="auto"/>
                <w:sz w:val="24"/>
                <w:szCs w:val="24"/>
                <w:highlight w:val="none"/>
              </w:rPr>
            </w:pPr>
          </w:p>
        </w:tc>
        <w:tc>
          <w:tcPr>
            <w:tcW w:w="2004" w:type="dxa"/>
            <w:tcBorders>
              <w:top w:val="nil"/>
              <w:left w:val="single" w:color="auto" w:sz="4" w:space="0"/>
              <w:bottom w:val="single" w:color="000000" w:sz="4" w:space="0"/>
              <w:right w:val="single" w:color="auto" w:sz="4" w:space="0"/>
            </w:tcBorders>
            <w:shd w:val="clear" w:color="auto" w:fill="auto"/>
            <w:vAlign w:val="center"/>
          </w:tcPr>
          <w:p w14:paraId="24E9A36E">
            <w:pPr>
              <w:adjustRightInd/>
              <w:snapToGrid/>
              <w:spacing w:after="0"/>
              <w:jc w:val="center"/>
              <w:rPr>
                <w:rFonts w:hint="eastAsia" w:ascii="仿宋" w:hAnsi="仿宋" w:eastAsia="仿宋" w:cs="仿宋"/>
                <w:b/>
                <w:bCs/>
                <w:color w:val="auto"/>
                <w:sz w:val="24"/>
                <w:szCs w:val="24"/>
                <w:highlight w:val="none"/>
                <w:lang w:eastAsia="zh-CN"/>
              </w:rPr>
            </w:pPr>
          </w:p>
          <w:p w14:paraId="4B1B8B0C">
            <w:pPr>
              <w:adjustRightInd/>
              <w:snapToGrid/>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学生儿童</w:t>
            </w:r>
          </w:p>
          <w:p w14:paraId="5DDBD875">
            <w:pPr>
              <w:adjustRightInd/>
              <w:snapToGrid/>
              <w:spacing w:after="0"/>
              <w:jc w:val="center"/>
              <w:rPr>
                <w:rFonts w:hint="eastAsia" w:ascii="仿宋" w:hAnsi="仿宋" w:eastAsia="仿宋" w:cs="仿宋"/>
                <w:b/>
                <w:bCs/>
                <w:color w:val="auto"/>
                <w:sz w:val="24"/>
                <w:szCs w:val="24"/>
                <w:highlight w:val="none"/>
              </w:rPr>
            </w:pPr>
          </w:p>
        </w:tc>
        <w:tc>
          <w:tcPr>
            <w:tcW w:w="2217" w:type="dxa"/>
            <w:tcBorders>
              <w:top w:val="single" w:color="auto" w:sz="4" w:space="0"/>
              <w:left w:val="nil"/>
              <w:bottom w:val="single" w:color="auto" w:sz="4" w:space="0"/>
              <w:right w:val="single" w:color="auto" w:sz="4" w:space="0"/>
            </w:tcBorders>
            <w:shd w:val="clear" w:color="auto" w:fill="auto"/>
            <w:vAlign w:val="center"/>
          </w:tcPr>
          <w:p w14:paraId="0B3C29FE">
            <w:pPr>
              <w:adjustRightInd/>
              <w:snapToGrid/>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成人居民</w:t>
            </w:r>
          </w:p>
        </w:tc>
      </w:tr>
      <w:tr w14:paraId="16461E55">
        <w:tblPrEx>
          <w:tblCellMar>
            <w:top w:w="0" w:type="dxa"/>
            <w:left w:w="108" w:type="dxa"/>
            <w:bottom w:w="0" w:type="dxa"/>
            <w:right w:w="108" w:type="dxa"/>
          </w:tblCellMar>
        </w:tblPrEx>
        <w:trPr>
          <w:trHeight w:val="486" w:hRule="atLeast"/>
        </w:trPr>
        <w:tc>
          <w:tcPr>
            <w:tcW w:w="11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DD702B">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哈市</w:t>
            </w:r>
          </w:p>
          <w:p w14:paraId="0B6404A2">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定点</w:t>
            </w:r>
          </w:p>
          <w:p w14:paraId="0C36257D">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医院</w:t>
            </w:r>
          </w:p>
          <w:p w14:paraId="4AAFD83E">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就医</w:t>
            </w:r>
          </w:p>
          <w:p w14:paraId="2CD4CF8B">
            <w:pPr>
              <w:adjustRightInd/>
              <w:snapToGrid/>
              <w:spacing w:after="0"/>
              <w:jc w:val="center"/>
              <w:rPr>
                <w:rFonts w:hint="eastAsia" w:ascii="仿宋" w:hAnsi="仿宋" w:eastAsia="仿宋" w:cs="仿宋"/>
                <w:color w:val="auto"/>
                <w:sz w:val="24"/>
                <w:szCs w:val="24"/>
                <w:highlight w:val="none"/>
                <w:lang w:eastAsia="zh-CN"/>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14:paraId="32415543">
            <w:pPr>
              <w:adjustRightInd/>
              <w:snapToGrid/>
              <w:spacing w:after="0"/>
              <w:jc w:val="center"/>
              <w:rPr>
                <w:rFonts w:hint="eastAsia" w:ascii="仿宋" w:hAnsi="仿宋" w:eastAsia="仿宋" w:cs="仿宋"/>
                <w:strike/>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610800">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14:paraId="5F5D4D4E">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2217" w:type="dxa"/>
            <w:tcBorders>
              <w:top w:val="nil"/>
              <w:left w:val="nil"/>
              <w:bottom w:val="single" w:color="auto" w:sz="4" w:space="0"/>
              <w:right w:val="single" w:color="auto" w:sz="4" w:space="0"/>
            </w:tcBorders>
            <w:shd w:val="clear" w:color="auto" w:fill="auto"/>
            <w:vAlign w:val="center"/>
          </w:tcPr>
          <w:p w14:paraId="3E230729">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rPr>
              <w:t>90%</w:t>
            </w:r>
          </w:p>
        </w:tc>
      </w:tr>
      <w:tr w14:paraId="29C2D8FF">
        <w:tblPrEx>
          <w:tblCellMar>
            <w:top w:w="0" w:type="dxa"/>
            <w:left w:w="108" w:type="dxa"/>
            <w:bottom w:w="0" w:type="dxa"/>
            <w:right w:w="108" w:type="dxa"/>
          </w:tblCellMar>
        </w:tblPrEx>
        <w:trPr>
          <w:trHeight w:val="44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14:paraId="56791497">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14:paraId="64F03370">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CC55D7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684C0A24">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90%</w:t>
            </w:r>
          </w:p>
        </w:tc>
        <w:tc>
          <w:tcPr>
            <w:tcW w:w="2217" w:type="dxa"/>
            <w:tcBorders>
              <w:top w:val="nil"/>
              <w:left w:val="nil"/>
              <w:bottom w:val="single" w:color="auto" w:sz="4" w:space="0"/>
              <w:right w:val="single" w:color="auto" w:sz="4" w:space="0"/>
            </w:tcBorders>
            <w:shd w:val="clear" w:color="auto" w:fill="auto"/>
            <w:vAlign w:val="center"/>
          </w:tcPr>
          <w:p w14:paraId="67EE0A75">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rPr>
              <w:t>90%</w:t>
            </w:r>
          </w:p>
        </w:tc>
      </w:tr>
      <w:tr w14:paraId="38D8B0A3">
        <w:tblPrEx>
          <w:tblCellMar>
            <w:top w:w="0" w:type="dxa"/>
            <w:left w:w="108" w:type="dxa"/>
            <w:bottom w:w="0" w:type="dxa"/>
            <w:right w:w="108" w:type="dxa"/>
          </w:tblCellMar>
        </w:tblPrEx>
        <w:trPr>
          <w:trHeight w:val="45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14:paraId="33FCBB8D">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14:paraId="269CD1B7">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23B07F9">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480</w:t>
            </w:r>
          </w:p>
        </w:tc>
        <w:tc>
          <w:tcPr>
            <w:tcW w:w="2004" w:type="dxa"/>
            <w:tcBorders>
              <w:top w:val="single" w:color="auto" w:sz="4" w:space="0"/>
              <w:left w:val="single" w:color="auto" w:sz="4" w:space="0"/>
              <w:bottom w:val="single" w:color="auto" w:sz="4" w:space="0"/>
              <w:right w:val="single" w:color="auto" w:sz="4" w:space="0"/>
            </w:tcBorders>
            <w:vAlign w:val="center"/>
          </w:tcPr>
          <w:p w14:paraId="7C1607C0">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14:paraId="28101365">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r>
      <w:tr w14:paraId="6AE3AA21">
        <w:tblPrEx>
          <w:tblCellMar>
            <w:top w:w="0" w:type="dxa"/>
            <w:left w:w="108" w:type="dxa"/>
            <w:bottom w:w="0" w:type="dxa"/>
            <w:right w:w="108" w:type="dxa"/>
          </w:tblCellMar>
        </w:tblPrEx>
        <w:trPr>
          <w:trHeight w:val="431"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14:paraId="671F5954">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14:paraId="36BFF533">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6054A3">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720</w:t>
            </w:r>
          </w:p>
        </w:tc>
        <w:tc>
          <w:tcPr>
            <w:tcW w:w="2004" w:type="dxa"/>
            <w:tcBorders>
              <w:top w:val="single" w:color="auto" w:sz="4" w:space="0"/>
              <w:left w:val="single" w:color="auto" w:sz="4" w:space="0"/>
              <w:bottom w:val="single" w:color="auto" w:sz="4" w:space="0"/>
              <w:right w:val="single" w:color="auto" w:sz="4" w:space="0"/>
            </w:tcBorders>
            <w:vAlign w:val="center"/>
          </w:tcPr>
          <w:p w14:paraId="293DF6C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14:paraId="4D75DBD2">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r>
      <w:tr w14:paraId="5915053E">
        <w:tblPrEx>
          <w:tblCellMar>
            <w:top w:w="0" w:type="dxa"/>
            <w:left w:w="108" w:type="dxa"/>
            <w:bottom w:w="0" w:type="dxa"/>
            <w:right w:w="108" w:type="dxa"/>
          </w:tblCellMar>
        </w:tblPrEx>
        <w:trPr>
          <w:trHeight w:val="442" w:hRule="atLeast"/>
        </w:trPr>
        <w:tc>
          <w:tcPr>
            <w:tcW w:w="1117" w:type="dxa"/>
            <w:vMerge w:val="continue"/>
            <w:tcBorders>
              <w:top w:val="single" w:color="auto" w:sz="4" w:space="0"/>
              <w:left w:val="single" w:color="auto" w:sz="4" w:space="0"/>
              <w:right w:val="single" w:color="auto" w:sz="4" w:space="0"/>
            </w:tcBorders>
            <w:vAlign w:val="center"/>
          </w:tcPr>
          <w:p w14:paraId="2545FC53">
            <w:pPr>
              <w:adjustRightInd/>
              <w:snapToGrid/>
              <w:spacing w:after="0"/>
              <w:rPr>
                <w:rFonts w:hint="eastAsia" w:ascii="仿宋" w:hAnsi="仿宋" w:eastAsia="仿宋" w:cs="仿宋"/>
                <w:color w:val="auto"/>
                <w:sz w:val="24"/>
                <w:szCs w:val="24"/>
                <w:highlight w:val="none"/>
              </w:rPr>
            </w:pPr>
          </w:p>
        </w:tc>
        <w:tc>
          <w:tcPr>
            <w:tcW w:w="2901" w:type="dxa"/>
            <w:tcBorders>
              <w:top w:val="single" w:color="auto" w:sz="4" w:space="0"/>
              <w:left w:val="nil"/>
              <w:bottom w:val="single" w:color="auto" w:sz="4" w:space="0"/>
              <w:right w:val="single" w:color="auto" w:sz="4" w:space="0"/>
            </w:tcBorders>
            <w:shd w:val="clear" w:color="auto" w:fill="auto"/>
            <w:vAlign w:val="center"/>
          </w:tcPr>
          <w:p w14:paraId="65E316B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精神疾病患者在专科</w:t>
            </w:r>
            <w:r>
              <w:rPr>
                <w:rFonts w:hint="eastAsia" w:ascii="仿宋" w:hAnsi="仿宋" w:eastAsia="仿宋" w:cs="仿宋"/>
                <w:color w:val="auto"/>
                <w:sz w:val="24"/>
                <w:szCs w:val="24"/>
                <w:highlight w:val="none"/>
                <w:lang w:eastAsia="zh-CN"/>
              </w:rPr>
              <w:t>定点医院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5D7016A">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2004" w:type="dxa"/>
            <w:tcBorders>
              <w:top w:val="single" w:color="auto" w:sz="4" w:space="0"/>
              <w:left w:val="nil"/>
              <w:bottom w:val="single" w:color="auto" w:sz="4" w:space="0"/>
              <w:right w:val="single" w:color="auto" w:sz="4" w:space="0"/>
            </w:tcBorders>
            <w:shd w:val="clear" w:color="auto" w:fill="auto"/>
            <w:vAlign w:val="center"/>
          </w:tcPr>
          <w:p w14:paraId="6009A21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14:paraId="07E2366C">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85%</w:t>
            </w:r>
          </w:p>
        </w:tc>
      </w:tr>
      <w:tr w14:paraId="7DD4A176">
        <w:tblPrEx>
          <w:tblCellMar>
            <w:top w:w="0" w:type="dxa"/>
            <w:left w:w="108" w:type="dxa"/>
            <w:bottom w:w="0" w:type="dxa"/>
            <w:right w:w="108" w:type="dxa"/>
          </w:tblCellMar>
        </w:tblPrEx>
        <w:trPr>
          <w:trHeight w:val="562" w:hRule="atLeast"/>
        </w:trPr>
        <w:tc>
          <w:tcPr>
            <w:tcW w:w="1117" w:type="dxa"/>
            <w:vMerge w:val="continue"/>
            <w:tcBorders>
              <w:left w:val="single" w:color="auto" w:sz="4" w:space="0"/>
              <w:right w:val="single" w:color="auto" w:sz="4" w:space="0"/>
            </w:tcBorders>
            <w:vAlign w:val="center"/>
          </w:tcPr>
          <w:p w14:paraId="7C7DF714">
            <w:pPr>
              <w:adjustRightInd/>
              <w:snapToGrid/>
              <w:spacing w:after="0"/>
              <w:rPr>
                <w:rFonts w:hint="eastAsia" w:ascii="仿宋" w:hAnsi="仿宋" w:eastAsia="仿宋" w:cs="仿宋"/>
                <w:color w:val="auto"/>
                <w:sz w:val="24"/>
                <w:szCs w:val="24"/>
                <w:highlight w:val="none"/>
              </w:rPr>
            </w:pPr>
          </w:p>
        </w:tc>
        <w:tc>
          <w:tcPr>
            <w:tcW w:w="2901" w:type="dxa"/>
            <w:tcBorders>
              <w:top w:val="nil"/>
              <w:left w:val="nil"/>
              <w:bottom w:val="single" w:color="auto" w:sz="4" w:space="0"/>
              <w:right w:val="single" w:color="auto" w:sz="4" w:space="0"/>
            </w:tcBorders>
            <w:shd w:val="clear" w:color="auto" w:fill="auto"/>
            <w:vAlign w:val="center"/>
          </w:tcPr>
          <w:p w14:paraId="34CE9B2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肺结核患者在专科定点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35E6DE2">
            <w:pPr>
              <w:adjustRightInd/>
              <w:snapToGrid/>
              <w:spacing w:after="0"/>
              <w:jc w:val="center"/>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14:paraId="1EDC2F1C">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c>
          <w:tcPr>
            <w:tcW w:w="2217" w:type="dxa"/>
            <w:tcBorders>
              <w:top w:val="nil"/>
              <w:left w:val="nil"/>
              <w:bottom w:val="single" w:color="auto" w:sz="4" w:space="0"/>
              <w:right w:val="single" w:color="auto" w:sz="4" w:space="0"/>
            </w:tcBorders>
            <w:shd w:val="clear" w:color="auto" w:fill="auto"/>
            <w:vAlign w:val="center"/>
          </w:tcPr>
          <w:p w14:paraId="7CAE4424">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85%</w:t>
            </w:r>
          </w:p>
        </w:tc>
      </w:tr>
      <w:tr w14:paraId="79C65880">
        <w:tblPrEx>
          <w:tblCellMar>
            <w:top w:w="0" w:type="dxa"/>
            <w:left w:w="108" w:type="dxa"/>
            <w:bottom w:w="0" w:type="dxa"/>
            <w:right w:w="108" w:type="dxa"/>
          </w:tblCellMar>
        </w:tblPrEx>
        <w:trPr>
          <w:trHeight w:val="496" w:hRule="atLeast"/>
        </w:trPr>
        <w:tc>
          <w:tcPr>
            <w:tcW w:w="1117" w:type="dxa"/>
            <w:vMerge w:val="continue"/>
            <w:tcBorders>
              <w:left w:val="single" w:color="auto" w:sz="4" w:space="0"/>
              <w:right w:val="single" w:color="auto" w:sz="4" w:space="0"/>
            </w:tcBorders>
            <w:vAlign w:val="center"/>
          </w:tcPr>
          <w:p w14:paraId="254090A6">
            <w:pPr>
              <w:adjustRightInd/>
              <w:snapToGrid/>
              <w:spacing w:after="0"/>
              <w:rPr>
                <w:rFonts w:hint="eastAsia" w:ascii="仿宋" w:hAnsi="仿宋" w:eastAsia="仿宋" w:cs="仿宋"/>
                <w:color w:val="auto"/>
                <w:sz w:val="24"/>
                <w:szCs w:val="24"/>
                <w:highlight w:val="none"/>
              </w:rPr>
            </w:pPr>
          </w:p>
        </w:tc>
        <w:tc>
          <w:tcPr>
            <w:tcW w:w="2901" w:type="dxa"/>
            <w:tcBorders>
              <w:top w:val="nil"/>
              <w:left w:val="nil"/>
              <w:bottom w:val="single" w:color="auto" w:sz="4" w:space="0"/>
              <w:right w:val="single" w:color="auto" w:sz="4" w:space="0"/>
            </w:tcBorders>
            <w:shd w:val="clear" w:color="auto" w:fill="auto"/>
            <w:vAlign w:val="center"/>
          </w:tcPr>
          <w:p w14:paraId="48212FE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耐多药肺结核患者在专科定点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single" w:color="auto" w:sz="4" w:space="0"/>
              <w:bottom w:val="single" w:color="auto" w:sz="4" w:space="0"/>
              <w:right w:val="single" w:color="auto" w:sz="4" w:space="0"/>
            </w:tcBorders>
            <w:vAlign w:val="center"/>
          </w:tcPr>
          <w:p w14:paraId="2AD5433C">
            <w:pPr>
              <w:adjustRightInd/>
              <w:snapToGrid/>
              <w:spacing w:after="0"/>
              <w:ind w:left="0" w:leftChars="0" w:firstLine="0" w:firstLineChars="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14:paraId="122255FE">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w:t>
            </w:r>
          </w:p>
        </w:tc>
        <w:tc>
          <w:tcPr>
            <w:tcW w:w="2217" w:type="dxa"/>
            <w:tcBorders>
              <w:top w:val="nil"/>
              <w:left w:val="nil"/>
              <w:bottom w:val="single" w:color="auto" w:sz="4" w:space="0"/>
              <w:right w:val="single" w:color="auto" w:sz="4" w:space="0"/>
            </w:tcBorders>
            <w:shd w:val="clear" w:color="auto" w:fill="auto"/>
            <w:vAlign w:val="center"/>
          </w:tcPr>
          <w:p w14:paraId="0A68DA42">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90%</w:t>
            </w:r>
          </w:p>
        </w:tc>
      </w:tr>
      <w:tr w14:paraId="589F7132">
        <w:tblPrEx>
          <w:tblCellMar>
            <w:top w:w="0" w:type="dxa"/>
            <w:left w:w="108" w:type="dxa"/>
            <w:bottom w:w="0" w:type="dxa"/>
            <w:right w:w="108" w:type="dxa"/>
          </w:tblCellMar>
        </w:tblPrEx>
        <w:trPr>
          <w:trHeight w:val="461" w:hRule="atLeast"/>
        </w:trPr>
        <w:tc>
          <w:tcPr>
            <w:tcW w:w="1117" w:type="dxa"/>
            <w:vMerge w:val="continue"/>
            <w:tcBorders>
              <w:left w:val="single" w:color="auto" w:sz="4" w:space="0"/>
              <w:bottom w:val="nil"/>
              <w:right w:val="single" w:color="auto" w:sz="4" w:space="0"/>
            </w:tcBorders>
            <w:vAlign w:val="center"/>
          </w:tcPr>
          <w:p w14:paraId="7D7982A7">
            <w:pPr>
              <w:adjustRightInd/>
              <w:snapToGrid/>
              <w:spacing w:after="0"/>
              <w:rPr>
                <w:rFonts w:hint="eastAsia" w:ascii="仿宋" w:hAnsi="仿宋" w:eastAsia="仿宋" w:cs="仿宋"/>
                <w:color w:val="auto"/>
                <w:sz w:val="24"/>
                <w:szCs w:val="24"/>
                <w:highlight w:val="none"/>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14:paraId="7B714638">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其他传染病患者在传染病专科定点医院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1A86EFB">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2004" w:type="dxa"/>
            <w:tcBorders>
              <w:top w:val="nil"/>
              <w:left w:val="nil"/>
              <w:bottom w:val="single" w:color="auto" w:sz="4" w:space="0"/>
              <w:right w:val="single" w:color="auto" w:sz="4" w:space="0"/>
            </w:tcBorders>
            <w:shd w:val="clear" w:color="auto" w:fill="auto"/>
            <w:vAlign w:val="center"/>
          </w:tcPr>
          <w:p w14:paraId="227B5172">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c>
          <w:tcPr>
            <w:tcW w:w="2217" w:type="dxa"/>
            <w:tcBorders>
              <w:top w:val="nil"/>
              <w:left w:val="nil"/>
              <w:bottom w:val="single" w:color="auto" w:sz="4" w:space="0"/>
              <w:right w:val="single" w:color="auto" w:sz="4" w:space="0"/>
            </w:tcBorders>
            <w:shd w:val="clear" w:color="auto" w:fill="auto"/>
            <w:vAlign w:val="center"/>
          </w:tcPr>
          <w:p w14:paraId="17458961">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70%</w:t>
            </w:r>
          </w:p>
        </w:tc>
      </w:tr>
      <w:tr w14:paraId="1D62571B">
        <w:tblPrEx>
          <w:tblCellMar>
            <w:top w:w="0" w:type="dxa"/>
            <w:left w:w="108" w:type="dxa"/>
            <w:bottom w:w="0" w:type="dxa"/>
            <w:right w:w="108" w:type="dxa"/>
          </w:tblCellMar>
        </w:tblPrEx>
        <w:trPr>
          <w:trHeight w:val="461" w:hRule="atLeast"/>
        </w:trPr>
        <w:tc>
          <w:tcPr>
            <w:tcW w:w="1117" w:type="dxa"/>
            <w:vMerge w:val="restart"/>
            <w:tcBorders>
              <w:top w:val="single" w:color="auto" w:sz="4" w:space="0"/>
              <w:left w:val="single" w:color="auto" w:sz="4" w:space="0"/>
              <w:bottom w:val="nil"/>
              <w:right w:val="single" w:color="auto" w:sz="4" w:space="0"/>
            </w:tcBorders>
            <w:vAlign w:val="center"/>
          </w:tcPr>
          <w:p w14:paraId="1EEDBFD3">
            <w:pPr>
              <w:adjustRightInd/>
              <w:snapToGrid/>
              <w:spacing w:after="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异地</w:t>
            </w:r>
          </w:p>
          <w:p w14:paraId="7E79B882">
            <w:pPr>
              <w:adjustRightInd/>
              <w:snapToGrid/>
              <w:spacing w:after="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转诊</w:t>
            </w:r>
          </w:p>
        </w:tc>
        <w:tc>
          <w:tcPr>
            <w:tcW w:w="2901" w:type="dxa"/>
            <w:tcBorders>
              <w:top w:val="single" w:color="auto" w:sz="4" w:space="0"/>
              <w:left w:val="nil"/>
              <w:bottom w:val="single" w:color="auto" w:sz="4" w:space="0"/>
              <w:right w:val="single" w:color="auto" w:sz="4" w:space="0"/>
            </w:tcBorders>
            <w:shd w:val="clear" w:color="auto" w:fill="auto"/>
            <w:vAlign w:val="center"/>
          </w:tcPr>
          <w:p w14:paraId="76A61427">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single" w:color="auto" w:sz="4" w:space="0"/>
              <w:left w:val="nil"/>
              <w:bottom w:val="single" w:color="auto" w:sz="4" w:space="0"/>
              <w:right w:val="single" w:color="auto" w:sz="4" w:space="0"/>
            </w:tcBorders>
            <w:shd w:val="clear" w:color="auto" w:fill="auto"/>
            <w:vAlign w:val="center"/>
          </w:tcPr>
          <w:p w14:paraId="57C8AB2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14:paraId="631D542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14:paraId="69C30224">
            <w:pPr>
              <w:adjustRightInd/>
              <w:snapToGrid/>
              <w:spacing w:after="0"/>
              <w:jc w:val="center"/>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85%</w:t>
            </w:r>
          </w:p>
        </w:tc>
      </w:tr>
      <w:tr w14:paraId="284FBB3C">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14:paraId="353D4F4D">
            <w:pPr>
              <w:adjustRightInd/>
              <w:snapToGrid/>
              <w:spacing w:after="0"/>
              <w:rPr>
                <w:rFonts w:hint="eastAsia" w:ascii="仿宋" w:hAnsi="仿宋" w:eastAsia="仿宋" w:cs="仿宋"/>
                <w:color w:val="auto"/>
                <w:sz w:val="24"/>
                <w:szCs w:val="24"/>
                <w:highlight w:val="none"/>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14:paraId="0E082CCF">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nil"/>
              <w:bottom w:val="single" w:color="auto" w:sz="4" w:space="0"/>
              <w:right w:val="single" w:color="auto" w:sz="4" w:space="0"/>
            </w:tcBorders>
            <w:shd w:val="clear" w:color="auto" w:fill="auto"/>
            <w:vAlign w:val="center"/>
          </w:tcPr>
          <w:p w14:paraId="5323878B">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2004" w:type="dxa"/>
            <w:tcBorders>
              <w:top w:val="nil"/>
              <w:left w:val="nil"/>
              <w:bottom w:val="single" w:color="auto" w:sz="4" w:space="0"/>
              <w:right w:val="single" w:color="auto" w:sz="4" w:space="0"/>
            </w:tcBorders>
            <w:shd w:val="clear" w:color="auto" w:fill="auto"/>
            <w:vAlign w:val="center"/>
          </w:tcPr>
          <w:p w14:paraId="4A39B702">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2217" w:type="dxa"/>
            <w:tcBorders>
              <w:top w:val="nil"/>
              <w:left w:val="nil"/>
              <w:bottom w:val="single" w:color="auto" w:sz="4" w:space="0"/>
              <w:right w:val="single" w:color="auto" w:sz="4" w:space="0"/>
            </w:tcBorders>
            <w:shd w:val="clear" w:color="auto" w:fill="auto"/>
            <w:vAlign w:val="center"/>
          </w:tcPr>
          <w:p w14:paraId="5C53A86B">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r>
      <w:tr w14:paraId="10056BAA">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14:paraId="1C10A039">
            <w:pPr>
              <w:adjustRightInd/>
              <w:snapToGrid/>
              <w:spacing w:after="0"/>
              <w:rPr>
                <w:rFonts w:hint="eastAsia" w:ascii="仿宋" w:hAnsi="仿宋" w:eastAsia="仿宋" w:cs="仿宋"/>
                <w:color w:val="auto"/>
                <w:sz w:val="24"/>
                <w:szCs w:val="24"/>
                <w:highlight w:val="none"/>
                <w:lang w:eastAsia="zh-CN"/>
              </w:rPr>
            </w:pPr>
          </w:p>
        </w:tc>
        <w:tc>
          <w:tcPr>
            <w:tcW w:w="2901" w:type="dxa"/>
            <w:tcBorders>
              <w:top w:val="single" w:color="auto" w:sz="4" w:space="0"/>
              <w:left w:val="nil"/>
              <w:bottom w:val="single" w:color="auto" w:sz="4" w:space="0"/>
              <w:right w:val="single" w:color="auto" w:sz="4" w:space="0"/>
            </w:tcBorders>
            <w:shd w:val="clear" w:color="auto" w:fill="auto"/>
            <w:vAlign w:val="center"/>
          </w:tcPr>
          <w:p w14:paraId="37349553">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single" w:color="auto" w:sz="4" w:space="0"/>
              <w:left w:val="nil"/>
              <w:bottom w:val="single" w:color="auto" w:sz="4" w:space="0"/>
              <w:right w:val="single" w:color="auto" w:sz="4" w:space="0"/>
            </w:tcBorders>
            <w:shd w:val="clear" w:color="auto" w:fill="auto"/>
            <w:vAlign w:val="center"/>
          </w:tcPr>
          <w:p w14:paraId="5782C343">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480</w:t>
            </w:r>
          </w:p>
        </w:tc>
        <w:tc>
          <w:tcPr>
            <w:tcW w:w="2004" w:type="dxa"/>
            <w:tcBorders>
              <w:top w:val="nil"/>
              <w:left w:val="nil"/>
              <w:bottom w:val="single" w:color="auto" w:sz="4" w:space="0"/>
              <w:right w:val="single" w:color="auto" w:sz="4" w:space="0"/>
            </w:tcBorders>
            <w:shd w:val="clear" w:color="auto" w:fill="auto"/>
            <w:vAlign w:val="center"/>
          </w:tcPr>
          <w:p w14:paraId="27D926A4">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w:t>
            </w:r>
          </w:p>
        </w:tc>
        <w:tc>
          <w:tcPr>
            <w:tcW w:w="2217" w:type="dxa"/>
            <w:tcBorders>
              <w:top w:val="nil"/>
              <w:left w:val="nil"/>
              <w:bottom w:val="single" w:color="auto" w:sz="4" w:space="0"/>
              <w:right w:val="single" w:color="auto" w:sz="4" w:space="0"/>
            </w:tcBorders>
            <w:shd w:val="clear" w:color="auto" w:fill="auto"/>
            <w:vAlign w:val="center"/>
          </w:tcPr>
          <w:p w14:paraId="2A493827">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p>
        </w:tc>
      </w:tr>
      <w:tr w14:paraId="641565B8">
        <w:tblPrEx>
          <w:tblCellMar>
            <w:top w:w="0" w:type="dxa"/>
            <w:left w:w="108" w:type="dxa"/>
            <w:bottom w:w="0" w:type="dxa"/>
            <w:right w:w="108" w:type="dxa"/>
          </w:tblCellMar>
        </w:tblPrEx>
        <w:trPr>
          <w:trHeight w:val="461" w:hRule="atLeast"/>
        </w:trPr>
        <w:tc>
          <w:tcPr>
            <w:tcW w:w="1117" w:type="dxa"/>
            <w:vMerge w:val="continue"/>
            <w:tcBorders>
              <w:top w:val="nil"/>
              <w:left w:val="single" w:color="auto" w:sz="4" w:space="0"/>
              <w:bottom w:val="single" w:color="auto" w:sz="4" w:space="0"/>
              <w:right w:val="single" w:color="auto" w:sz="4" w:space="0"/>
            </w:tcBorders>
            <w:vAlign w:val="center"/>
          </w:tcPr>
          <w:p w14:paraId="4990D7E5">
            <w:pPr>
              <w:adjustRightInd/>
              <w:snapToGrid/>
              <w:spacing w:after="0"/>
              <w:rPr>
                <w:rFonts w:hint="eastAsia" w:ascii="仿宋" w:hAnsi="仿宋" w:eastAsia="仿宋" w:cs="仿宋"/>
                <w:color w:val="auto"/>
                <w:sz w:val="24"/>
                <w:szCs w:val="24"/>
                <w:highlight w:val="none"/>
              </w:rPr>
            </w:pPr>
          </w:p>
        </w:tc>
        <w:tc>
          <w:tcPr>
            <w:tcW w:w="2901" w:type="dxa"/>
            <w:tcBorders>
              <w:top w:val="nil"/>
              <w:left w:val="single" w:color="auto" w:sz="4" w:space="0"/>
              <w:bottom w:val="single" w:color="auto" w:sz="4" w:space="0"/>
              <w:right w:val="single" w:color="auto" w:sz="4" w:space="0"/>
            </w:tcBorders>
            <w:shd w:val="clear" w:color="auto" w:fill="auto"/>
            <w:vAlign w:val="center"/>
          </w:tcPr>
          <w:p w14:paraId="429C75C9">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14:paraId="0922800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720</w:t>
            </w:r>
          </w:p>
        </w:tc>
        <w:tc>
          <w:tcPr>
            <w:tcW w:w="2004" w:type="dxa"/>
            <w:tcBorders>
              <w:top w:val="nil"/>
              <w:left w:val="nil"/>
              <w:bottom w:val="single" w:color="auto" w:sz="4" w:space="0"/>
              <w:right w:val="single" w:color="auto" w:sz="4" w:space="0"/>
            </w:tcBorders>
            <w:shd w:val="clear" w:color="auto" w:fill="auto"/>
            <w:vAlign w:val="center"/>
          </w:tcPr>
          <w:p w14:paraId="28FF494A">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p>
        </w:tc>
        <w:tc>
          <w:tcPr>
            <w:tcW w:w="2217" w:type="dxa"/>
            <w:tcBorders>
              <w:top w:val="nil"/>
              <w:left w:val="nil"/>
              <w:bottom w:val="single" w:color="auto" w:sz="4" w:space="0"/>
              <w:right w:val="single" w:color="auto" w:sz="4" w:space="0"/>
            </w:tcBorders>
            <w:shd w:val="clear" w:color="auto" w:fill="auto"/>
            <w:vAlign w:val="center"/>
          </w:tcPr>
          <w:p w14:paraId="587110FF">
            <w:pPr>
              <w:adjustRightInd/>
              <w:snapToGrid/>
              <w:spacing w:after="0"/>
              <w:jc w:val="center"/>
              <w:rPr>
                <w:rFonts w:hint="eastAsia" w:ascii="仿宋" w:hAnsi="仿宋" w:eastAsia="仿宋" w:cs="仿宋"/>
                <w:strike w:val="0"/>
                <w:dstrike w:val="0"/>
                <w:color w:val="auto"/>
                <w:sz w:val="24"/>
                <w:szCs w:val="24"/>
                <w:highlight w:val="none"/>
                <w:lang w:val="en-US" w:eastAsia="zh-CN"/>
              </w:rPr>
            </w:pPr>
            <w:r>
              <w:rPr>
                <w:rFonts w:hint="default" w:ascii="仿宋" w:hAnsi="仿宋" w:eastAsia="仿宋" w:cs="仿宋"/>
                <w:color w:val="auto"/>
                <w:sz w:val="24"/>
                <w:szCs w:val="24"/>
                <w:highlight w:val="none"/>
                <w:lang w:eastAsia="zh-CN"/>
              </w:rPr>
              <w:t>65</w:t>
            </w:r>
            <w:r>
              <w:rPr>
                <w:rFonts w:hint="eastAsia" w:ascii="仿宋" w:hAnsi="仿宋" w:eastAsia="仿宋" w:cs="仿宋"/>
                <w:color w:val="auto"/>
                <w:sz w:val="24"/>
                <w:szCs w:val="24"/>
                <w:highlight w:val="none"/>
                <w:lang w:val="en-US" w:eastAsia="zh-CN"/>
              </w:rPr>
              <w:t>%</w:t>
            </w:r>
          </w:p>
        </w:tc>
      </w:tr>
      <w:tr w14:paraId="09754AC7">
        <w:tblPrEx>
          <w:tblCellMar>
            <w:top w:w="0" w:type="dxa"/>
            <w:left w:w="108" w:type="dxa"/>
            <w:bottom w:w="0" w:type="dxa"/>
            <w:right w:w="108" w:type="dxa"/>
          </w:tblCellMar>
        </w:tblPrEx>
        <w:trPr>
          <w:trHeight w:val="461" w:hRule="atLeast"/>
        </w:trPr>
        <w:tc>
          <w:tcPr>
            <w:tcW w:w="1117" w:type="dxa"/>
            <w:vMerge w:val="restart"/>
            <w:tcBorders>
              <w:top w:val="nil"/>
              <w:left w:val="single" w:color="auto" w:sz="4" w:space="0"/>
              <w:right w:val="single" w:color="auto" w:sz="4" w:space="0"/>
            </w:tcBorders>
            <w:vAlign w:val="center"/>
          </w:tcPr>
          <w:p w14:paraId="7B34666C">
            <w:pPr>
              <w:adjustRightInd/>
              <w:snapToGrid/>
              <w:spacing w:after="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异地</w:t>
            </w:r>
          </w:p>
          <w:p w14:paraId="3B77C4FD">
            <w:pPr>
              <w:adjustRightInd/>
              <w:snapToGrid/>
              <w:spacing w:after="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急诊、</w:t>
            </w:r>
          </w:p>
          <w:p w14:paraId="3636EBB9">
            <w:pPr>
              <w:adjustRightInd/>
              <w:snapToGrid/>
              <w:spacing w:after="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自由</w:t>
            </w:r>
          </w:p>
          <w:p w14:paraId="5AAA4E8E">
            <w:pPr>
              <w:adjustRightInd/>
              <w:snapToGrid/>
              <w:spacing w:after="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转诊</w:t>
            </w:r>
          </w:p>
        </w:tc>
        <w:tc>
          <w:tcPr>
            <w:tcW w:w="2901" w:type="dxa"/>
            <w:tcBorders>
              <w:top w:val="nil"/>
              <w:left w:val="single" w:color="auto" w:sz="4" w:space="0"/>
              <w:bottom w:val="single" w:color="auto" w:sz="4" w:space="0"/>
              <w:right w:val="single" w:color="auto" w:sz="4" w:space="0"/>
            </w:tcBorders>
            <w:shd w:val="clear" w:color="auto" w:fill="auto"/>
            <w:vAlign w:val="center"/>
          </w:tcPr>
          <w:p w14:paraId="28F2ACD9">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无等级医院</w:t>
            </w:r>
          </w:p>
        </w:tc>
        <w:tc>
          <w:tcPr>
            <w:tcW w:w="900" w:type="dxa"/>
            <w:tcBorders>
              <w:top w:val="nil"/>
              <w:left w:val="single" w:color="auto" w:sz="4" w:space="0"/>
              <w:bottom w:val="single" w:color="auto" w:sz="4" w:space="0"/>
              <w:right w:val="single" w:color="auto" w:sz="4" w:space="0"/>
            </w:tcBorders>
            <w:shd w:val="clear" w:color="auto" w:fill="auto"/>
            <w:vAlign w:val="center"/>
          </w:tcPr>
          <w:p w14:paraId="30C0BB3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004" w:type="dxa"/>
            <w:tcBorders>
              <w:top w:val="nil"/>
              <w:left w:val="nil"/>
              <w:bottom w:val="single" w:color="auto" w:sz="4" w:space="0"/>
              <w:right w:val="single" w:color="auto" w:sz="4" w:space="0"/>
            </w:tcBorders>
            <w:shd w:val="clear" w:color="auto" w:fill="auto"/>
            <w:vAlign w:val="center"/>
          </w:tcPr>
          <w:p w14:paraId="5AAF2F0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14:paraId="244408E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r>
      <w:tr w14:paraId="44F8D7DE">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14:paraId="0CA39953">
            <w:pPr>
              <w:adjustRightInd/>
              <w:snapToGrid/>
              <w:spacing w:after="0"/>
              <w:rPr>
                <w:rFonts w:hint="eastAsia" w:ascii="仿宋" w:hAnsi="仿宋" w:eastAsia="仿宋" w:cs="仿宋"/>
                <w:color w:val="auto"/>
                <w:sz w:val="24"/>
                <w:szCs w:val="24"/>
                <w:highlight w:val="none"/>
              </w:rPr>
            </w:pPr>
          </w:p>
        </w:tc>
        <w:tc>
          <w:tcPr>
            <w:tcW w:w="2901" w:type="dxa"/>
            <w:tcBorders>
              <w:top w:val="nil"/>
              <w:left w:val="single" w:color="auto" w:sz="4" w:space="0"/>
              <w:bottom w:val="single" w:color="auto" w:sz="4" w:space="0"/>
              <w:right w:val="single" w:color="auto" w:sz="4" w:space="0"/>
            </w:tcBorders>
            <w:shd w:val="clear" w:color="auto" w:fill="auto"/>
            <w:vAlign w:val="center"/>
          </w:tcPr>
          <w:p w14:paraId="1C8A129A">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14:paraId="04BEC70E">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2004" w:type="dxa"/>
            <w:tcBorders>
              <w:top w:val="nil"/>
              <w:left w:val="nil"/>
              <w:bottom w:val="single" w:color="auto" w:sz="4" w:space="0"/>
              <w:right w:val="single" w:color="auto" w:sz="4" w:space="0"/>
            </w:tcBorders>
            <w:shd w:val="clear" w:color="auto" w:fill="auto"/>
            <w:vAlign w:val="center"/>
          </w:tcPr>
          <w:p w14:paraId="2301D1B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2217" w:type="dxa"/>
            <w:tcBorders>
              <w:top w:val="nil"/>
              <w:left w:val="nil"/>
              <w:bottom w:val="single" w:color="auto" w:sz="4" w:space="0"/>
              <w:right w:val="single" w:color="auto" w:sz="4" w:space="0"/>
            </w:tcBorders>
            <w:shd w:val="clear" w:color="auto" w:fill="auto"/>
            <w:vAlign w:val="center"/>
          </w:tcPr>
          <w:p w14:paraId="35586E42">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r>
      <w:tr w14:paraId="2ED58881">
        <w:tblPrEx>
          <w:tblCellMar>
            <w:top w:w="0" w:type="dxa"/>
            <w:left w:w="108" w:type="dxa"/>
            <w:bottom w:w="0" w:type="dxa"/>
            <w:right w:w="108" w:type="dxa"/>
          </w:tblCellMar>
        </w:tblPrEx>
        <w:trPr>
          <w:trHeight w:val="461" w:hRule="atLeast"/>
        </w:trPr>
        <w:tc>
          <w:tcPr>
            <w:tcW w:w="1117" w:type="dxa"/>
            <w:vMerge w:val="continue"/>
            <w:tcBorders>
              <w:left w:val="single" w:color="auto" w:sz="4" w:space="0"/>
              <w:right w:val="single" w:color="auto" w:sz="4" w:space="0"/>
            </w:tcBorders>
            <w:vAlign w:val="center"/>
          </w:tcPr>
          <w:p w14:paraId="47C8564C">
            <w:pPr>
              <w:adjustRightInd/>
              <w:snapToGrid/>
              <w:spacing w:after="0"/>
              <w:rPr>
                <w:rFonts w:hint="eastAsia" w:ascii="仿宋" w:hAnsi="仿宋" w:eastAsia="仿宋" w:cs="仿宋"/>
                <w:color w:val="auto"/>
                <w:sz w:val="24"/>
                <w:szCs w:val="24"/>
                <w:highlight w:val="none"/>
              </w:rPr>
            </w:pPr>
          </w:p>
        </w:tc>
        <w:tc>
          <w:tcPr>
            <w:tcW w:w="2901" w:type="dxa"/>
            <w:tcBorders>
              <w:top w:val="nil"/>
              <w:left w:val="single" w:color="auto" w:sz="4" w:space="0"/>
              <w:bottom w:val="single" w:color="auto" w:sz="4" w:space="0"/>
              <w:right w:val="single" w:color="auto" w:sz="4" w:space="0"/>
            </w:tcBorders>
            <w:shd w:val="clear" w:color="auto" w:fill="auto"/>
            <w:vAlign w:val="center"/>
          </w:tcPr>
          <w:p w14:paraId="51B9444E">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14:paraId="36FBCD8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480</w:t>
            </w:r>
          </w:p>
        </w:tc>
        <w:tc>
          <w:tcPr>
            <w:tcW w:w="2004" w:type="dxa"/>
            <w:tcBorders>
              <w:top w:val="nil"/>
              <w:left w:val="nil"/>
              <w:bottom w:val="single" w:color="auto" w:sz="4" w:space="0"/>
              <w:right w:val="single" w:color="auto" w:sz="4" w:space="0"/>
            </w:tcBorders>
            <w:shd w:val="clear" w:color="auto" w:fill="auto"/>
            <w:vAlign w:val="center"/>
          </w:tcPr>
          <w:p w14:paraId="0586DAB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c>
          <w:tcPr>
            <w:tcW w:w="2217" w:type="dxa"/>
            <w:tcBorders>
              <w:top w:val="nil"/>
              <w:left w:val="nil"/>
              <w:bottom w:val="single" w:color="auto" w:sz="4" w:space="0"/>
              <w:right w:val="single" w:color="auto" w:sz="4" w:space="0"/>
            </w:tcBorders>
            <w:shd w:val="clear" w:color="auto" w:fill="auto"/>
            <w:vAlign w:val="center"/>
          </w:tcPr>
          <w:p w14:paraId="4C97E3D9">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r>
      <w:tr w14:paraId="5A3D69BC">
        <w:tblPrEx>
          <w:tblCellMar>
            <w:top w:w="0" w:type="dxa"/>
            <w:left w:w="108" w:type="dxa"/>
            <w:bottom w:w="0" w:type="dxa"/>
            <w:right w:w="108" w:type="dxa"/>
          </w:tblCellMar>
        </w:tblPrEx>
        <w:trPr>
          <w:trHeight w:val="461" w:hRule="atLeast"/>
        </w:trPr>
        <w:tc>
          <w:tcPr>
            <w:tcW w:w="1117" w:type="dxa"/>
            <w:vMerge w:val="continue"/>
            <w:tcBorders>
              <w:left w:val="single" w:color="auto" w:sz="4" w:space="0"/>
              <w:bottom w:val="single" w:color="auto" w:sz="4" w:space="0"/>
              <w:right w:val="single" w:color="auto" w:sz="4" w:space="0"/>
            </w:tcBorders>
            <w:vAlign w:val="center"/>
          </w:tcPr>
          <w:p w14:paraId="7E4A5428">
            <w:pPr>
              <w:adjustRightInd/>
              <w:snapToGrid/>
              <w:spacing w:after="0"/>
              <w:rPr>
                <w:rFonts w:hint="eastAsia" w:ascii="仿宋" w:hAnsi="仿宋" w:eastAsia="仿宋" w:cs="仿宋"/>
                <w:color w:val="auto"/>
                <w:sz w:val="24"/>
                <w:szCs w:val="24"/>
                <w:highlight w:val="none"/>
              </w:rPr>
            </w:pPr>
          </w:p>
        </w:tc>
        <w:tc>
          <w:tcPr>
            <w:tcW w:w="2901" w:type="dxa"/>
            <w:tcBorders>
              <w:top w:val="nil"/>
              <w:left w:val="single" w:color="auto" w:sz="4" w:space="0"/>
              <w:bottom w:val="single" w:color="auto" w:sz="4" w:space="0"/>
              <w:right w:val="single" w:color="auto" w:sz="4" w:space="0"/>
            </w:tcBorders>
            <w:shd w:val="clear" w:color="auto" w:fill="auto"/>
            <w:vAlign w:val="center"/>
          </w:tcPr>
          <w:p w14:paraId="183CC355">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三级定点</w:t>
            </w:r>
            <w:r>
              <w:rPr>
                <w:rFonts w:hint="eastAsia" w:ascii="仿宋" w:hAnsi="仿宋" w:eastAsia="仿宋" w:cs="仿宋"/>
                <w:color w:val="auto"/>
                <w:sz w:val="24"/>
                <w:szCs w:val="24"/>
                <w:highlight w:val="none"/>
                <w:lang w:eastAsia="zh-CN"/>
              </w:rPr>
              <w:t>医院</w:t>
            </w:r>
          </w:p>
        </w:tc>
        <w:tc>
          <w:tcPr>
            <w:tcW w:w="900" w:type="dxa"/>
            <w:tcBorders>
              <w:top w:val="nil"/>
              <w:left w:val="single" w:color="auto" w:sz="4" w:space="0"/>
              <w:bottom w:val="single" w:color="auto" w:sz="4" w:space="0"/>
              <w:right w:val="single" w:color="auto" w:sz="4" w:space="0"/>
            </w:tcBorders>
            <w:shd w:val="clear" w:color="auto" w:fill="auto"/>
            <w:vAlign w:val="center"/>
          </w:tcPr>
          <w:p w14:paraId="37F8346B">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720</w:t>
            </w:r>
          </w:p>
        </w:tc>
        <w:tc>
          <w:tcPr>
            <w:tcW w:w="2004" w:type="dxa"/>
            <w:tcBorders>
              <w:top w:val="nil"/>
              <w:left w:val="nil"/>
              <w:bottom w:val="single" w:color="auto" w:sz="4" w:space="0"/>
              <w:right w:val="single" w:color="auto" w:sz="4" w:space="0"/>
            </w:tcBorders>
            <w:shd w:val="clear" w:color="auto" w:fill="auto"/>
            <w:vAlign w:val="center"/>
          </w:tcPr>
          <w:p w14:paraId="66551203">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c>
          <w:tcPr>
            <w:tcW w:w="2217" w:type="dxa"/>
            <w:tcBorders>
              <w:top w:val="nil"/>
              <w:left w:val="nil"/>
              <w:bottom w:val="single" w:color="auto" w:sz="4" w:space="0"/>
              <w:right w:val="single" w:color="auto" w:sz="4" w:space="0"/>
            </w:tcBorders>
            <w:shd w:val="clear" w:color="auto" w:fill="auto"/>
            <w:vAlign w:val="center"/>
          </w:tcPr>
          <w:p w14:paraId="1E7EE6D4">
            <w:pPr>
              <w:adjustRightInd/>
              <w:snapToGrid/>
              <w:spacing w:after="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60</w:t>
            </w:r>
            <w:r>
              <w:rPr>
                <w:rFonts w:hint="eastAsia" w:ascii="仿宋" w:hAnsi="仿宋" w:eastAsia="仿宋" w:cs="仿宋"/>
                <w:color w:val="auto"/>
                <w:sz w:val="24"/>
                <w:szCs w:val="24"/>
                <w:highlight w:val="none"/>
                <w:lang w:val="en-US" w:eastAsia="zh-CN"/>
              </w:rPr>
              <w:t>%</w:t>
            </w:r>
          </w:p>
        </w:tc>
      </w:tr>
      <w:tr w14:paraId="0C4C84D6">
        <w:tblPrEx>
          <w:tblCellMar>
            <w:top w:w="0" w:type="dxa"/>
            <w:left w:w="108" w:type="dxa"/>
            <w:bottom w:w="0" w:type="dxa"/>
            <w:right w:w="108" w:type="dxa"/>
          </w:tblCellMar>
        </w:tblPrEx>
        <w:trPr>
          <w:trHeight w:val="1431" w:hRule="atLeast"/>
        </w:trPr>
        <w:tc>
          <w:tcPr>
            <w:tcW w:w="9139" w:type="dxa"/>
            <w:gridSpan w:val="5"/>
            <w:tcBorders>
              <w:top w:val="nil"/>
              <w:left w:val="single" w:color="auto" w:sz="4" w:space="0"/>
              <w:bottom w:val="single" w:color="auto" w:sz="4" w:space="0"/>
              <w:right w:val="single" w:color="auto" w:sz="4" w:space="0"/>
            </w:tcBorders>
            <w:shd w:val="clear" w:color="auto" w:fill="auto"/>
            <w:vAlign w:val="center"/>
          </w:tcPr>
          <w:p w14:paraId="49C1FD62">
            <w:pPr>
              <w:adjustRightInd/>
              <w:snapToGrid/>
              <w:spacing w:after="0"/>
              <w:ind w:left="800" w:hanging="960" w:hangingChars="4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注：参保居民一个年度内第二次住院起付标准降低1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%，多次住院的执行第2次住院起付标准。</w:t>
            </w:r>
          </w:p>
          <w:p w14:paraId="3FB32676">
            <w:pPr>
              <w:adjustRightInd/>
              <w:snapToGrid/>
              <w:spacing w:after="0"/>
              <w:jc w:val="both"/>
              <w:rPr>
                <w:rFonts w:hint="eastAsia" w:ascii="仿宋" w:hAnsi="仿宋" w:eastAsia="仿宋" w:cs="仿宋"/>
                <w:color w:val="auto"/>
                <w:sz w:val="24"/>
                <w:szCs w:val="24"/>
                <w:highlight w:val="none"/>
                <w:lang w:val="en-US" w:eastAsia="zh-CN"/>
              </w:rPr>
            </w:pPr>
          </w:p>
        </w:tc>
      </w:tr>
    </w:tbl>
    <w:p w14:paraId="7002FC08">
      <w:pPr>
        <w:numPr>
          <w:ilvl w:val="0"/>
          <w:numId w:val="0"/>
        </w:numPr>
        <w:rPr>
          <w:rFonts w:hint="eastAsia" w:ascii="仿宋" w:hAnsi="仿宋" w:eastAsia="仿宋" w:cs="仿宋"/>
          <w:b/>
          <w:bCs/>
          <w:color w:val="auto"/>
          <w:sz w:val="32"/>
          <w:szCs w:val="32"/>
          <w:highlight w:val="none"/>
          <w:lang w:eastAsia="zh-CN"/>
        </w:rPr>
      </w:pPr>
    </w:p>
    <w:p w14:paraId="14B22B7D">
      <w:pPr>
        <w:numPr>
          <w:ilvl w:val="0"/>
          <w:numId w:val="0"/>
        </w:num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门诊特殊疾病</w:t>
      </w:r>
      <w:r>
        <w:rPr>
          <w:rFonts w:hint="eastAsia" w:ascii="仿宋" w:hAnsi="仿宋" w:eastAsia="仿宋" w:cs="仿宋"/>
          <w:b/>
          <w:bCs/>
          <w:color w:val="auto"/>
          <w:sz w:val="32"/>
          <w:szCs w:val="32"/>
          <w:highlight w:val="none"/>
          <w:lang w:eastAsia="zh-CN"/>
        </w:rPr>
        <w:t>待遇</w:t>
      </w:r>
    </w:p>
    <w:tbl>
      <w:tblPr>
        <w:tblStyle w:val="7"/>
        <w:tblW w:w="11399" w:type="dxa"/>
        <w:jc w:val="center"/>
        <w:tblLayout w:type="fixed"/>
        <w:tblCellMar>
          <w:top w:w="0" w:type="dxa"/>
          <w:left w:w="108" w:type="dxa"/>
          <w:bottom w:w="0" w:type="dxa"/>
          <w:right w:w="108" w:type="dxa"/>
        </w:tblCellMar>
      </w:tblPr>
      <w:tblGrid>
        <w:gridCol w:w="1106"/>
        <w:gridCol w:w="1184"/>
        <w:gridCol w:w="2870"/>
        <w:gridCol w:w="1524"/>
        <w:gridCol w:w="1583"/>
        <w:gridCol w:w="1541"/>
        <w:gridCol w:w="1591"/>
      </w:tblGrid>
      <w:tr w14:paraId="1A845532">
        <w:tblPrEx>
          <w:tblCellMar>
            <w:top w:w="0" w:type="dxa"/>
            <w:left w:w="108" w:type="dxa"/>
            <w:bottom w:w="0" w:type="dxa"/>
            <w:right w:w="108" w:type="dxa"/>
          </w:tblCellMar>
        </w:tblPrEx>
        <w:trPr>
          <w:trHeight w:val="480" w:hRule="atLeast"/>
          <w:jc w:val="center"/>
        </w:trPr>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B56D7A">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就医</w:t>
            </w:r>
          </w:p>
          <w:p w14:paraId="73DFD4B5">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人群</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FFE730">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特殊疾病病种</w:t>
            </w:r>
          </w:p>
        </w:tc>
        <w:tc>
          <w:tcPr>
            <w:tcW w:w="2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1667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统筹基金支付项目</w:t>
            </w: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14:paraId="739E97A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在特殊疾病门诊</w:t>
            </w:r>
            <w:r>
              <w:rPr>
                <w:rFonts w:hint="eastAsia" w:ascii="仿宋" w:hAnsi="仿宋" w:eastAsia="仿宋" w:cs="仿宋"/>
                <w:color w:val="auto"/>
                <w:sz w:val="24"/>
                <w:szCs w:val="24"/>
                <w:highlight w:val="none"/>
                <w:lang w:eastAsia="zh-CN"/>
              </w:rPr>
              <w:t>定点医院</w:t>
            </w:r>
            <w:r>
              <w:rPr>
                <w:rFonts w:hint="eastAsia" w:ascii="仿宋" w:hAnsi="仿宋" w:eastAsia="仿宋" w:cs="仿宋"/>
                <w:color w:val="auto"/>
                <w:sz w:val="24"/>
                <w:szCs w:val="24"/>
                <w:highlight w:val="none"/>
              </w:rPr>
              <w:t>，统筹基金支付标准</w:t>
            </w:r>
          </w:p>
        </w:tc>
      </w:tr>
      <w:tr w14:paraId="3505AB66">
        <w:tblPrEx>
          <w:tblCellMar>
            <w:top w:w="0" w:type="dxa"/>
            <w:left w:w="108" w:type="dxa"/>
            <w:bottom w:w="0" w:type="dxa"/>
            <w:right w:w="108" w:type="dxa"/>
          </w:tblCellMar>
        </w:tblPrEx>
        <w:trPr>
          <w:trHeight w:val="973"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21F04416">
            <w:pPr>
              <w:adjustRightInd/>
              <w:snapToGrid/>
              <w:spacing w:after="0"/>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14:paraId="7FB7F841">
            <w:pPr>
              <w:adjustRightInd/>
              <w:snapToGrid/>
              <w:spacing w:after="0"/>
              <w:rPr>
                <w:rFonts w:hint="eastAsia" w:ascii="仿宋" w:hAnsi="仿宋" w:eastAsia="仿宋" w:cs="仿宋"/>
                <w:color w:val="auto"/>
                <w:sz w:val="24"/>
                <w:szCs w:val="24"/>
                <w:highlight w:val="none"/>
              </w:rPr>
            </w:pPr>
          </w:p>
        </w:tc>
        <w:tc>
          <w:tcPr>
            <w:tcW w:w="2870" w:type="dxa"/>
            <w:vMerge w:val="continue"/>
            <w:tcBorders>
              <w:top w:val="single" w:color="auto" w:sz="4" w:space="0"/>
              <w:left w:val="single" w:color="auto" w:sz="4" w:space="0"/>
              <w:bottom w:val="single" w:color="auto" w:sz="4" w:space="0"/>
              <w:right w:val="single" w:color="auto" w:sz="4" w:space="0"/>
            </w:tcBorders>
            <w:vAlign w:val="center"/>
          </w:tcPr>
          <w:p w14:paraId="7F81F0CE">
            <w:pPr>
              <w:adjustRightInd/>
              <w:snapToGrid/>
              <w:spacing w:after="0"/>
              <w:rPr>
                <w:rFonts w:hint="eastAsia" w:ascii="仿宋" w:hAnsi="仿宋" w:eastAsia="仿宋" w:cs="仿宋"/>
                <w:color w:val="auto"/>
                <w:sz w:val="24"/>
                <w:szCs w:val="24"/>
                <w:highlight w:val="none"/>
              </w:rPr>
            </w:pPr>
          </w:p>
        </w:tc>
        <w:tc>
          <w:tcPr>
            <w:tcW w:w="1524" w:type="dxa"/>
            <w:tcBorders>
              <w:top w:val="nil"/>
              <w:left w:val="nil"/>
              <w:bottom w:val="single" w:color="auto" w:sz="4" w:space="0"/>
              <w:right w:val="single" w:color="auto" w:sz="4" w:space="0"/>
            </w:tcBorders>
            <w:shd w:val="clear" w:color="auto" w:fill="auto"/>
            <w:vAlign w:val="center"/>
          </w:tcPr>
          <w:p w14:paraId="62D5BEEC">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无等级医院</w:t>
            </w:r>
          </w:p>
        </w:tc>
        <w:tc>
          <w:tcPr>
            <w:tcW w:w="1583" w:type="dxa"/>
            <w:tcBorders>
              <w:top w:val="nil"/>
              <w:left w:val="nil"/>
              <w:bottom w:val="single" w:color="auto" w:sz="4" w:space="0"/>
              <w:right w:val="single" w:color="auto" w:sz="4" w:space="0"/>
            </w:tcBorders>
            <w:shd w:val="clear" w:color="auto" w:fill="auto"/>
            <w:vAlign w:val="center"/>
          </w:tcPr>
          <w:p w14:paraId="6E640622">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r>
              <w:rPr>
                <w:rFonts w:hint="eastAsia" w:ascii="仿宋" w:hAnsi="仿宋" w:eastAsia="仿宋" w:cs="仿宋"/>
                <w:color w:val="auto"/>
                <w:sz w:val="24"/>
                <w:szCs w:val="24"/>
                <w:highlight w:val="none"/>
                <w:lang w:eastAsia="zh-CN"/>
              </w:rPr>
              <w:t>医院</w:t>
            </w:r>
          </w:p>
        </w:tc>
        <w:tc>
          <w:tcPr>
            <w:tcW w:w="1541" w:type="dxa"/>
            <w:tcBorders>
              <w:top w:val="nil"/>
              <w:left w:val="nil"/>
              <w:bottom w:val="single" w:color="auto" w:sz="4" w:space="0"/>
              <w:right w:val="single" w:color="auto" w:sz="4" w:space="0"/>
            </w:tcBorders>
            <w:shd w:val="clear" w:color="auto" w:fill="auto"/>
            <w:vAlign w:val="center"/>
          </w:tcPr>
          <w:p w14:paraId="143F7A24">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w:t>
            </w:r>
            <w:r>
              <w:rPr>
                <w:rFonts w:hint="eastAsia" w:ascii="仿宋" w:hAnsi="仿宋" w:eastAsia="仿宋" w:cs="仿宋"/>
                <w:color w:val="auto"/>
                <w:sz w:val="24"/>
                <w:szCs w:val="24"/>
                <w:highlight w:val="none"/>
                <w:lang w:eastAsia="zh-CN"/>
              </w:rPr>
              <w:t>医院</w:t>
            </w:r>
          </w:p>
        </w:tc>
        <w:tc>
          <w:tcPr>
            <w:tcW w:w="1591" w:type="dxa"/>
            <w:tcBorders>
              <w:top w:val="nil"/>
              <w:left w:val="nil"/>
              <w:bottom w:val="single" w:color="auto" w:sz="4" w:space="0"/>
              <w:right w:val="single" w:color="auto" w:sz="4" w:space="0"/>
            </w:tcBorders>
            <w:shd w:val="clear" w:color="auto" w:fill="auto"/>
            <w:vAlign w:val="center"/>
          </w:tcPr>
          <w:p w14:paraId="36D2B224">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三级</w:t>
            </w:r>
            <w:r>
              <w:rPr>
                <w:rFonts w:hint="eastAsia" w:ascii="仿宋" w:hAnsi="仿宋" w:eastAsia="仿宋" w:cs="仿宋"/>
                <w:color w:val="auto"/>
                <w:sz w:val="24"/>
                <w:szCs w:val="24"/>
                <w:highlight w:val="none"/>
                <w:lang w:eastAsia="zh-CN"/>
              </w:rPr>
              <w:t>医院</w:t>
            </w:r>
          </w:p>
        </w:tc>
      </w:tr>
      <w:tr w14:paraId="7F502828">
        <w:tblPrEx>
          <w:tblCellMar>
            <w:top w:w="0" w:type="dxa"/>
            <w:left w:w="108" w:type="dxa"/>
            <w:bottom w:w="0" w:type="dxa"/>
            <w:right w:w="108" w:type="dxa"/>
          </w:tblCellMar>
        </w:tblPrEx>
        <w:trPr>
          <w:trHeight w:val="1580" w:hRule="atLeast"/>
          <w:jc w:val="center"/>
        </w:trPr>
        <w:tc>
          <w:tcPr>
            <w:tcW w:w="1106" w:type="dxa"/>
            <w:vMerge w:val="restart"/>
            <w:tcBorders>
              <w:top w:val="nil"/>
              <w:left w:val="single" w:color="auto" w:sz="4" w:space="0"/>
              <w:right w:val="single" w:color="auto" w:sz="4" w:space="0"/>
            </w:tcBorders>
            <w:shd w:val="clear" w:color="auto" w:fill="auto"/>
            <w:vAlign w:val="center"/>
          </w:tcPr>
          <w:p w14:paraId="7D13AFE5">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成人</w:t>
            </w:r>
          </w:p>
          <w:p w14:paraId="6CC1B9D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居民</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5CD81E7">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恶性肿瘤</w:t>
            </w:r>
          </w:p>
        </w:tc>
        <w:tc>
          <w:tcPr>
            <w:tcW w:w="2870" w:type="dxa"/>
            <w:tcBorders>
              <w:top w:val="nil"/>
              <w:left w:val="nil"/>
              <w:bottom w:val="single" w:color="auto" w:sz="4" w:space="0"/>
              <w:right w:val="single" w:color="auto" w:sz="4" w:space="0"/>
            </w:tcBorders>
            <w:shd w:val="clear" w:color="auto" w:fill="auto"/>
            <w:vAlign w:val="center"/>
          </w:tcPr>
          <w:p w14:paraId="495EB211">
            <w:pPr>
              <w:adjustRightInd/>
              <w:snapToGrid/>
              <w:spacing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放疗、化疗、免疫治疗、内分泌治疗、抗疼痛治疗以及与病情相关的一次性医用材料、检查检验、服务设施等费用</w:t>
            </w:r>
          </w:p>
        </w:tc>
        <w:tc>
          <w:tcPr>
            <w:tcW w:w="1524" w:type="dxa"/>
            <w:tcBorders>
              <w:top w:val="nil"/>
              <w:left w:val="nil"/>
              <w:bottom w:val="single" w:color="auto" w:sz="4" w:space="0"/>
              <w:right w:val="single" w:color="auto" w:sz="4" w:space="0"/>
            </w:tcBorders>
            <w:shd w:val="clear" w:color="auto" w:fill="auto"/>
            <w:vAlign w:val="center"/>
          </w:tcPr>
          <w:p w14:paraId="1EFDACB5">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83" w:type="dxa"/>
            <w:tcBorders>
              <w:top w:val="nil"/>
              <w:left w:val="nil"/>
              <w:bottom w:val="single" w:color="auto" w:sz="4" w:space="0"/>
              <w:right w:val="single" w:color="auto" w:sz="4" w:space="0"/>
            </w:tcBorders>
            <w:shd w:val="clear" w:color="auto" w:fill="auto"/>
            <w:vAlign w:val="center"/>
          </w:tcPr>
          <w:p w14:paraId="3FA408DB">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w:t>
            </w:r>
          </w:p>
        </w:tc>
        <w:tc>
          <w:tcPr>
            <w:tcW w:w="1541" w:type="dxa"/>
            <w:tcBorders>
              <w:top w:val="nil"/>
              <w:left w:val="nil"/>
              <w:bottom w:val="single" w:color="auto" w:sz="4" w:space="0"/>
              <w:right w:val="single" w:color="auto" w:sz="4" w:space="0"/>
            </w:tcBorders>
            <w:shd w:val="clear" w:color="auto" w:fill="auto"/>
            <w:vAlign w:val="center"/>
          </w:tcPr>
          <w:p w14:paraId="0A0F94C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05CBB39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r>
      <w:tr w14:paraId="56E31172">
        <w:tblPrEx>
          <w:tblCellMar>
            <w:top w:w="0" w:type="dxa"/>
            <w:left w:w="108" w:type="dxa"/>
            <w:bottom w:w="0" w:type="dxa"/>
            <w:right w:w="108" w:type="dxa"/>
          </w:tblCellMar>
        </w:tblPrEx>
        <w:trPr>
          <w:trHeight w:val="956" w:hRule="atLeast"/>
          <w:jc w:val="center"/>
        </w:trPr>
        <w:tc>
          <w:tcPr>
            <w:tcW w:w="1106" w:type="dxa"/>
            <w:vMerge w:val="continue"/>
            <w:tcBorders>
              <w:left w:val="single" w:color="auto" w:sz="4" w:space="0"/>
              <w:right w:val="single" w:color="auto" w:sz="4" w:space="0"/>
            </w:tcBorders>
            <w:vAlign w:val="center"/>
          </w:tcPr>
          <w:p w14:paraId="626D54C9">
            <w:pPr>
              <w:adjustRightInd/>
              <w:snapToGrid/>
              <w:spacing w:after="0"/>
              <w:rPr>
                <w:rFonts w:hint="eastAsia" w:ascii="仿宋" w:hAnsi="仿宋" w:eastAsia="仿宋" w:cs="仿宋"/>
                <w:color w:val="auto"/>
                <w:sz w:val="24"/>
                <w:szCs w:val="24"/>
                <w:highlight w:val="none"/>
              </w:rPr>
            </w:pP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BB17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尿毒症</w:t>
            </w:r>
          </w:p>
        </w:tc>
        <w:tc>
          <w:tcPr>
            <w:tcW w:w="2870" w:type="dxa"/>
            <w:tcBorders>
              <w:top w:val="nil"/>
              <w:left w:val="nil"/>
              <w:bottom w:val="single" w:color="000000" w:sz="4" w:space="0"/>
              <w:right w:val="single" w:color="auto" w:sz="4" w:space="0"/>
            </w:tcBorders>
            <w:shd w:val="clear" w:color="auto" w:fill="auto"/>
            <w:vAlign w:val="center"/>
          </w:tcPr>
          <w:p w14:paraId="312D0EC3">
            <w:pPr>
              <w:adjustRightInd/>
              <w:snapToGrid/>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血液透析组套（元/次）</w:t>
            </w:r>
          </w:p>
        </w:tc>
        <w:tc>
          <w:tcPr>
            <w:tcW w:w="1524" w:type="dxa"/>
            <w:tcBorders>
              <w:top w:val="nil"/>
              <w:left w:val="nil"/>
              <w:bottom w:val="single" w:color="000000" w:sz="4" w:space="0"/>
              <w:right w:val="single" w:color="auto" w:sz="4" w:space="0"/>
            </w:tcBorders>
            <w:shd w:val="clear" w:color="auto" w:fill="auto"/>
            <w:vAlign w:val="center"/>
          </w:tcPr>
          <w:p w14:paraId="026B4A7C">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00AC2416">
            <w:pPr>
              <w:adjustRightInd/>
              <w:snapToGrid/>
              <w:spacing w:after="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83" w:type="dxa"/>
            <w:tcBorders>
              <w:top w:val="nil"/>
              <w:left w:val="nil"/>
              <w:bottom w:val="single" w:color="000000" w:sz="4" w:space="0"/>
              <w:right w:val="single" w:color="auto" w:sz="4" w:space="0"/>
            </w:tcBorders>
            <w:shd w:val="clear" w:color="auto" w:fill="auto"/>
            <w:vAlign w:val="center"/>
          </w:tcPr>
          <w:p w14:paraId="5E9DC5C5">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3B23D8B0">
            <w:pPr>
              <w:adjustRightInd/>
              <w:snapToGrid/>
              <w:spacing w:after="0"/>
              <w:ind w:left="0"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41" w:type="dxa"/>
            <w:tcBorders>
              <w:top w:val="nil"/>
              <w:left w:val="nil"/>
              <w:bottom w:val="single" w:color="000000" w:sz="4" w:space="0"/>
              <w:right w:val="single" w:color="auto" w:sz="4" w:space="0"/>
            </w:tcBorders>
            <w:shd w:val="clear" w:color="auto" w:fill="auto"/>
            <w:vAlign w:val="center"/>
          </w:tcPr>
          <w:p w14:paraId="611C1758">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0FAB09EE">
            <w:pPr>
              <w:adjustRightInd/>
              <w:snapToGri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91" w:type="dxa"/>
            <w:tcBorders>
              <w:top w:val="nil"/>
              <w:left w:val="nil"/>
              <w:bottom w:val="single" w:color="000000" w:sz="4" w:space="0"/>
              <w:right w:val="single" w:color="auto" w:sz="4" w:space="0"/>
            </w:tcBorders>
            <w:shd w:val="clear" w:color="auto" w:fill="auto"/>
            <w:vAlign w:val="center"/>
          </w:tcPr>
          <w:p w14:paraId="0207EC85">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440元/次；</w:t>
            </w:r>
          </w:p>
          <w:p w14:paraId="538FE904">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支付40</w:t>
            </w:r>
            <w:r>
              <w:rPr>
                <w:rFonts w:hint="eastAsia" w:ascii="仿宋" w:hAnsi="仿宋" w:eastAsia="仿宋" w:cs="仿宋"/>
                <w:color w:val="auto"/>
                <w:sz w:val="24"/>
                <w:szCs w:val="24"/>
                <w:highlight w:val="none"/>
              </w:rPr>
              <w:t>0元</w:t>
            </w:r>
            <w:r>
              <w:rPr>
                <w:rFonts w:hint="eastAsia" w:ascii="仿宋" w:hAnsi="仿宋" w:eastAsia="仿宋" w:cs="仿宋"/>
                <w:color w:val="auto"/>
                <w:sz w:val="24"/>
                <w:szCs w:val="24"/>
                <w:highlight w:val="none"/>
                <w:lang w:val="en-US" w:eastAsia="zh-CN"/>
              </w:rPr>
              <w:t>/次</w:t>
            </w:r>
          </w:p>
        </w:tc>
      </w:tr>
      <w:tr w14:paraId="27334281">
        <w:tblPrEx>
          <w:tblCellMar>
            <w:top w:w="0" w:type="dxa"/>
            <w:left w:w="108" w:type="dxa"/>
            <w:bottom w:w="0" w:type="dxa"/>
            <w:right w:w="108" w:type="dxa"/>
          </w:tblCellMar>
        </w:tblPrEx>
        <w:trPr>
          <w:trHeight w:val="1700" w:hRule="atLeast"/>
          <w:jc w:val="center"/>
        </w:trPr>
        <w:tc>
          <w:tcPr>
            <w:tcW w:w="1106" w:type="dxa"/>
            <w:vMerge w:val="continue"/>
            <w:tcBorders>
              <w:left w:val="single" w:color="auto" w:sz="4" w:space="0"/>
              <w:right w:val="single" w:color="auto" w:sz="4" w:space="0"/>
            </w:tcBorders>
            <w:vAlign w:val="center"/>
          </w:tcPr>
          <w:p w14:paraId="5D0F13AC">
            <w:pPr>
              <w:adjustRightInd/>
              <w:snapToGrid/>
              <w:spacing w:after="0"/>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4" w:space="0"/>
              <w:bottom w:val="single" w:color="auto" w:sz="4" w:space="0"/>
              <w:right w:val="single" w:color="000000" w:sz="4" w:space="0"/>
            </w:tcBorders>
            <w:vAlign w:val="center"/>
          </w:tcPr>
          <w:p w14:paraId="7239F716">
            <w:pPr>
              <w:adjustRightInd/>
              <w:snapToGrid/>
              <w:spacing w:after="0"/>
              <w:rPr>
                <w:rFonts w:hint="eastAsia" w:ascii="仿宋" w:hAnsi="仿宋" w:eastAsia="仿宋" w:cs="仿宋"/>
                <w:color w:val="auto"/>
                <w:sz w:val="24"/>
                <w:szCs w:val="24"/>
                <w:highlight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A323">
            <w:pPr>
              <w:adjustRightInd/>
              <w:snapToGrid/>
              <w:spacing w:after="0"/>
              <w:ind w:left="0" w:leftChars="0" w:firstLine="0" w:firstLineChars="0"/>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eastAsia="zh-CN"/>
              </w:rPr>
              <w:t>血液灌流（包括血液透析和灌流器费用）</w:t>
            </w:r>
            <w:r>
              <w:rPr>
                <w:rFonts w:hint="eastAsia" w:ascii="仿宋" w:hAnsi="仿宋" w:eastAsia="仿宋" w:cs="仿宋"/>
                <w:color w:val="000000"/>
                <w:sz w:val="24"/>
                <w:szCs w:val="24"/>
                <w:highlight w:val="none"/>
              </w:rPr>
              <w:t>（元/次）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78E">
            <w:pPr>
              <w:adjustRightInd/>
              <w:snapToGrid/>
              <w:spacing w:after="0"/>
              <w:ind w:left="0" w:leftChars="0" w:firstLine="0" w:firstLineChars="0"/>
              <w:jc w:val="center"/>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D84">
            <w:pPr>
              <w:adjustRightInd/>
              <w:snapToGrid/>
              <w:spacing w:after="0"/>
              <w:ind w:left="0" w:leftChars="0" w:firstLine="0" w:firstLineChars="0"/>
              <w:jc w:val="center"/>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012C">
            <w:pPr>
              <w:adjustRightInd/>
              <w:snapToGrid/>
              <w:spacing w:after="0"/>
              <w:ind w:left="0" w:leftChars="0" w:firstLine="0" w:firstLineChars="0"/>
              <w:jc w:val="center"/>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351">
            <w:pPr>
              <w:adjustRightInd/>
              <w:snapToGrid/>
              <w:spacing w:after="0"/>
              <w:ind w:left="0" w:leftChars="0" w:firstLine="0" w:firstLineChars="0"/>
              <w:jc w:val="center"/>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rPr>
              <w:t>1040元/次；支付910元/次</w:t>
            </w:r>
          </w:p>
        </w:tc>
      </w:tr>
      <w:tr w14:paraId="433A30AF">
        <w:tblPrEx>
          <w:tblCellMar>
            <w:top w:w="0" w:type="dxa"/>
            <w:left w:w="108" w:type="dxa"/>
            <w:bottom w:w="0" w:type="dxa"/>
            <w:right w:w="108" w:type="dxa"/>
          </w:tblCellMar>
        </w:tblPrEx>
        <w:trPr>
          <w:trHeight w:val="367" w:hRule="atLeast"/>
          <w:jc w:val="center"/>
        </w:trPr>
        <w:tc>
          <w:tcPr>
            <w:tcW w:w="1106" w:type="dxa"/>
            <w:vMerge w:val="continue"/>
            <w:tcBorders>
              <w:left w:val="single" w:color="auto" w:sz="4" w:space="0"/>
              <w:right w:val="single" w:color="auto" w:sz="4" w:space="0"/>
            </w:tcBorders>
            <w:vAlign w:val="center"/>
          </w:tcPr>
          <w:p w14:paraId="321F4A5A">
            <w:pPr>
              <w:adjustRightInd/>
              <w:snapToGrid/>
              <w:spacing w:after="0"/>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4" w:space="0"/>
              <w:bottom w:val="single" w:color="auto" w:sz="4" w:space="0"/>
              <w:right w:val="single" w:color="000000" w:sz="4" w:space="0"/>
            </w:tcBorders>
            <w:vAlign w:val="center"/>
          </w:tcPr>
          <w:p w14:paraId="5A69B9BC">
            <w:pPr>
              <w:adjustRightInd/>
              <w:snapToGrid/>
              <w:spacing w:after="0"/>
              <w:rPr>
                <w:rFonts w:hint="eastAsia" w:ascii="仿宋" w:hAnsi="仿宋" w:eastAsia="仿宋" w:cs="仿宋"/>
                <w:color w:val="auto"/>
                <w:sz w:val="24"/>
                <w:szCs w:val="24"/>
                <w:highlight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FF1D">
            <w:pPr>
              <w:adjustRightInd/>
              <w:snapToGrid/>
              <w:spacing w:after="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透析门诊用药</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082">
            <w:pPr>
              <w:adjustRightInd/>
              <w:snapToGrid/>
              <w:spacing w:after="0"/>
              <w:ind w:left="0" w:lef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90%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D93">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97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9826">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r>
      <w:tr w14:paraId="675EF4B7">
        <w:tblPrEx>
          <w:tblCellMar>
            <w:top w:w="0" w:type="dxa"/>
            <w:left w:w="108" w:type="dxa"/>
            <w:bottom w:w="0" w:type="dxa"/>
            <w:right w:w="108" w:type="dxa"/>
          </w:tblCellMar>
        </w:tblPrEx>
        <w:trPr>
          <w:trHeight w:val="427" w:hRule="atLeast"/>
          <w:jc w:val="center"/>
        </w:trPr>
        <w:tc>
          <w:tcPr>
            <w:tcW w:w="1106" w:type="dxa"/>
            <w:vMerge w:val="continue"/>
            <w:tcBorders>
              <w:left w:val="single" w:color="auto" w:sz="4" w:space="0"/>
              <w:right w:val="single" w:color="auto" w:sz="4" w:space="0"/>
            </w:tcBorders>
            <w:vAlign w:val="center"/>
          </w:tcPr>
          <w:p w14:paraId="20868E11">
            <w:pPr>
              <w:adjustRightInd/>
              <w:snapToGrid/>
              <w:spacing w:after="0"/>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14:paraId="1969DC0B">
            <w:pPr>
              <w:adjustRightInd/>
              <w:snapToGrid/>
              <w:spacing w:after="0"/>
              <w:rPr>
                <w:rFonts w:hint="eastAsia" w:ascii="仿宋" w:hAnsi="仿宋" w:eastAsia="仿宋" w:cs="仿宋"/>
                <w:color w:val="auto"/>
                <w:sz w:val="24"/>
                <w:szCs w:val="24"/>
                <w:highlight w:val="none"/>
              </w:rPr>
            </w:pPr>
          </w:p>
        </w:tc>
        <w:tc>
          <w:tcPr>
            <w:tcW w:w="2870" w:type="dxa"/>
            <w:tcBorders>
              <w:top w:val="single" w:color="000000" w:sz="4" w:space="0"/>
              <w:left w:val="nil"/>
              <w:bottom w:val="single" w:color="auto" w:sz="4" w:space="0"/>
              <w:right w:val="single" w:color="auto" w:sz="4" w:space="0"/>
            </w:tcBorders>
            <w:shd w:val="clear" w:color="auto" w:fill="auto"/>
            <w:vAlign w:val="center"/>
          </w:tcPr>
          <w:p w14:paraId="379E4277">
            <w:pPr>
              <w:adjustRightInd/>
              <w:snapToGrid/>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腹膜透析组套（元/日）</w:t>
            </w:r>
          </w:p>
        </w:tc>
        <w:tc>
          <w:tcPr>
            <w:tcW w:w="6239" w:type="dxa"/>
            <w:gridSpan w:val="4"/>
            <w:tcBorders>
              <w:top w:val="single" w:color="000000" w:sz="4" w:space="0"/>
              <w:left w:val="nil"/>
              <w:bottom w:val="single" w:color="auto" w:sz="4" w:space="0"/>
              <w:right w:val="single" w:color="auto" w:sz="4" w:space="0"/>
            </w:tcBorders>
            <w:shd w:val="clear" w:color="auto" w:fill="auto"/>
            <w:vAlign w:val="center"/>
          </w:tcPr>
          <w:p w14:paraId="66EAE366">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每人每日160元，</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90%</w:t>
            </w:r>
          </w:p>
        </w:tc>
      </w:tr>
      <w:tr w14:paraId="4598A04C">
        <w:tblPrEx>
          <w:tblCellMar>
            <w:top w:w="0" w:type="dxa"/>
            <w:left w:w="108" w:type="dxa"/>
            <w:bottom w:w="0" w:type="dxa"/>
            <w:right w:w="108" w:type="dxa"/>
          </w:tblCellMar>
        </w:tblPrEx>
        <w:trPr>
          <w:trHeight w:val="609" w:hRule="atLeast"/>
          <w:jc w:val="center"/>
        </w:trPr>
        <w:tc>
          <w:tcPr>
            <w:tcW w:w="1106" w:type="dxa"/>
            <w:vMerge w:val="continue"/>
            <w:tcBorders>
              <w:left w:val="single" w:color="auto" w:sz="4" w:space="0"/>
              <w:right w:val="single" w:color="auto" w:sz="4" w:space="0"/>
            </w:tcBorders>
            <w:vAlign w:val="center"/>
          </w:tcPr>
          <w:p w14:paraId="4C5EAAF1">
            <w:pPr>
              <w:adjustRightInd/>
              <w:snapToGrid/>
              <w:spacing w:after="0"/>
              <w:rPr>
                <w:rFonts w:hint="eastAsia" w:ascii="仿宋" w:hAnsi="仿宋" w:eastAsia="仿宋" w:cs="仿宋"/>
                <w:color w:val="auto"/>
                <w:sz w:val="24"/>
                <w:szCs w:val="24"/>
                <w:highlight w:val="none"/>
              </w:rPr>
            </w:pP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00BF2D">
            <w:pPr>
              <w:adjustRightInd/>
              <w:snapToGrid/>
              <w:spacing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器官移植术后（肝、肾、肺、心脏移植）</w:t>
            </w:r>
          </w:p>
        </w:tc>
        <w:tc>
          <w:tcPr>
            <w:tcW w:w="2870" w:type="dxa"/>
            <w:vMerge w:val="restart"/>
            <w:tcBorders>
              <w:top w:val="nil"/>
              <w:left w:val="single" w:color="auto" w:sz="4" w:space="0"/>
              <w:bottom w:val="single" w:color="auto" w:sz="4" w:space="0"/>
              <w:right w:val="single" w:color="auto" w:sz="4" w:space="0"/>
            </w:tcBorders>
            <w:shd w:val="clear" w:color="auto" w:fill="auto"/>
            <w:vAlign w:val="center"/>
          </w:tcPr>
          <w:p w14:paraId="046C0C86">
            <w:pPr>
              <w:adjustRightInd/>
              <w:snapToGrid/>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抗排异治疗（以及与病情相关的治疗药品和检查检验费用）</w:t>
            </w: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14:paraId="22B363AC">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w:t>
            </w:r>
          </w:p>
        </w:tc>
      </w:tr>
      <w:tr w14:paraId="7E524E35">
        <w:tblPrEx>
          <w:tblCellMar>
            <w:top w:w="0" w:type="dxa"/>
            <w:left w:w="108" w:type="dxa"/>
            <w:bottom w:w="0" w:type="dxa"/>
            <w:right w:w="108" w:type="dxa"/>
          </w:tblCellMar>
        </w:tblPrEx>
        <w:trPr>
          <w:trHeight w:val="1268" w:hRule="atLeast"/>
          <w:jc w:val="center"/>
        </w:trPr>
        <w:tc>
          <w:tcPr>
            <w:tcW w:w="1106" w:type="dxa"/>
            <w:vMerge w:val="continue"/>
            <w:tcBorders>
              <w:left w:val="single" w:color="auto" w:sz="4" w:space="0"/>
              <w:right w:val="single" w:color="auto" w:sz="4" w:space="0"/>
            </w:tcBorders>
            <w:vAlign w:val="center"/>
          </w:tcPr>
          <w:p w14:paraId="5E042A9A">
            <w:pPr>
              <w:adjustRightInd/>
              <w:snapToGrid/>
              <w:spacing w:after="0"/>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14:paraId="207E87AB">
            <w:pPr>
              <w:adjustRightInd/>
              <w:snapToGrid/>
              <w:spacing w:after="0"/>
              <w:rPr>
                <w:rFonts w:hint="eastAsia" w:ascii="仿宋" w:hAnsi="仿宋" w:eastAsia="仿宋" w:cs="仿宋"/>
                <w:color w:val="auto"/>
                <w:sz w:val="24"/>
                <w:szCs w:val="24"/>
                <w:highlight w:val="none"/>
              </w:rPr>
            </w:pPr>
          </w:p>
        </w:tc>
        <w:tc>
          <w:tcPr>
            <w:tcW w:w="2870" w:type="dxa"/>
            <w:vMerge w:val="continue"/>
            <w:tcBorders>
              <w:top w:val="nil"/>
              <w:left w:val="single" w:color="auto" w:sz="4" w:space="0"/>
              <w:bottom w:val="single" w:color="auto" w:sz="4" w:space="0"/>
              <w:right w:val="single" w:color="auto" w:sz="4" w:space="0"/>
            </w:tcBorders>
            <w:vAlign w:val="center"/>
          </w:tcPr>
          <w:p w14:paraId="5F0E3EA6">
            <w:pPr>
              <w:adjustRightInd/>
              <w:snapToGrid/>
              <w:spacing w:after="0"/>
              <w:rPr>
                <w:rFonts w:hint="eastAsia" w:ascii="仿宋" w:hAnsi="仿宋" w:eastAsia="仿宋" w:cs="仿宋"/>
                <w:color w:val="auto"/>
                <w:sz w:val="24"/>
                <w:szCs w:val="24"/>
                <w:highlight w:val="none"/>
              </w:rPr>
            </w:pP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14:paraId="25CF80F9">
            <w:pPr>
              <w:adjustRightInd/>
              <w:snapToGrid/>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年度最高支付限额：术后2年以内（含2年）6.3万元</w:t>
            </w:r>
            <w:r>
              <w:rPr>
                <w:rFonts w:hint="eastAsia" w:ascii="仿宋" w:hAnsi="仿宋" w:eastAsia="仿宋" w:cs="仿宋"/>
                <w:color w:val="auto"/>
                <w:sz w:val="24"/>
                <w:szCs w:val="24"/>
                <w:highlight w:val="none"/>
                <w:lang w:eastAsia="zh-CN"/>
              </w:rPr>
              <w:t>，统筹金每人每季度最多支付不超过</w:t>
            </w:r>
            <w:r>
              <w:rPr>
                <w:rFonts w:hint="eastAsia" w:ascii="仿宋" w:hAnsi="仿宋" w:eastAsia="仿宋" w:cs="仿宋"/>
                <w:color w:val="auto"/>
                <w:sz w:val="24"/>
                <w:szCs w:val="24"/>
                <w:highlight w:val="none"/>
                <w:lang w:val="en-US" w:eastAsia="zh-CN"/>
              </w:rPr>
              <w:t>15750元</w:t>
            </w:r>
            <w:r>
              <w:rPr>
                <w:rFonts w:hint="eastAsia" w:ascii="仿宋" w:hAnsi="仿宋" w:eastAsia="仿宋" w:cs="仿宋"/>
                <w:color w:val="auto"/>
                <w:sz w:val="24"/>
                <w:szCs w:val="24"/>
                <w:highlight w:val="none"/>
              </w:rPr>
              <w:t>；术后2年以上4.9万元</w:t>
            </w:r>
            <w:r>
              <w:rPr>
                <w:rFonts w:hint="eastAsia" w:ascii="仿宋" w:hAnsi="仿宋" w:eastAsia="仿宋" w:cs="仿宋"/>
                <w:color w:val="auto"/>
                <w:sz w:val="24"/>
                <w:szCs w:val="24"/>
                <w:highlight w:val="none"/>
                <w:lang w:eastAsia="zh-CN"/>
              </w:rPr>
              <w:t>，统筹金每人每季度最多支付不超过</w:t>
            </w:r>
            <w:r>
              <w:rPr>
                <w:rFonts w:hint="eastAsia" w:ascii="仿宋" w:hAnsi="仿宋" w:eastAsia="仿宋" w:cs="仿宋"/>
                <w:color w:val="auto"/>
                <w:sz w:val="24"/>
                <w:szCs w:val="24"/>
                <w:highlight w:val="none"/>
                <w:lang w:val="en-US" w:eastAsia="zh-CN"/>
              </w:rPr>
              <w:t xml:space="preserve">12250元。          </w:t>
            </w:r>
          </w:p>
        </w:tc>
      </w:tr>
      <w:tr w14:paraId="6A3A2752">
        <w:tblPrEx>
          <w:tblCellMar>
            <w:top w:w="0" w:type="dxa"/>
            <w:left w:w="108" w:type="dxa"/>
            <w:bottom w:w="0" w:type="dxa"/>
            <w:right w:w="108" w:type="dxa"/>
          </w:tblCellMar>
        </w:tblPrEx>
        <w:trPr>
          <w:trHeight w:val="644" w:hRule="atLeast"/>
          <w:jc w:val="center"/>
        </w:trPr>
        <w:tc>
          <w:tcPr>
            <w:tcW w:w="1106" w:type="dxa"/>
            <w:vMerge w:val="continue"/>
            <w:tcBorders>
              <w:left w:val="single" w:color="auto" w:sz="4" w:space="0"/>
              <w:right w:val="single" w:color="auto" w:sz="4" w:space="0"/>
            </w:tcBorders>
            <w:shd w:val="clear" w:color="auto" w:fill="auto"/>
            <w:vAlign w:val="center"/>
          </w:tcPr>
          <w:p w14:paraId="14150E90">
            <w:pPr>
              <w:adjustRightInd/>
              <w:snapToGrid/>
              <w:spacing w:after="0"/>
              <w:jc w:val="center"/>
              <w:rPr>
                <w:rFonts w:hint="eastAsia" w:ascii="仿宋" w:hAnsi="仿宋" w:eastAsia="仿宋" w:cs="仿宋"/>
                <w:color w:val="auto"/>
                <w:sz w:val="24"/>
                <w:szCs w:val="24"/>
                <w:highlight w:val="none"/>
              </w:rPr>
            </w:pPr>
          </w:p>
        </w:tc>
        <w:tc>
          <w:tcPr>
            <w:tcW w:w="4054" w:type="dxa"/>
            <w:gridSpan w:val="2"/>
            <w:tcBorders>
              <w:top w:val="nil"/>
              <w:left w:val="nil"/>
              <w:bottom w:val="single" w:color="auto" w:sz="4" w:space="0"/>
              <w:right w:val="single" w:color="auto" w:sz="4" w:space="0"/>
            </w:tcBorders>
            <w:shd w:val="clear" w:color="auto" w:fill="auto"/>
            <w:vAlign w:val="center"/>
          </w:tcPr>
          <w:p w14:paraId="1C488D5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血友病、再生障碍性贫血、系统性红斑狼疮</w:t>
            </w:r>
          </w:p>
        </w:tc>
        <w:tc>
          <w:tcPr>
            <w:tcW w:w="1524" w:type="dxa"/>
            <w:tcBorders>
              <w:top w:val="nil"/>
              <w:left w:val="nil"/>
              <w:bottom w:val="single" w:color="auto" w:sz="4" w:space="0"/>
              <w:right w:val="single" w:color="auto" w:sz="4" w:space="0"/>
            </w:tcBorders>
            <w:shd w:val="clear" w:color="auto" w:fill="auto"/>
            <w:vAlign w:val="center"/>
          </w:tcPr>
          <w:p w14:paraId="2E2894F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83" w:type="dxa"/>
            <w:tcBorders>
              <w:top w:val="single" w:color="auto" w:sz="4" w:space="0"/>
              <w:left w:val="nil"/>
              <w:bottom w:val="single" w:color="auto" w:sz="4" w:space="0"/>
              <w:right w:val="single" w:color="auto" w:sz="4" w:space="0"/>
            </w:tcBorders>
            <w:shd w:val="clear" w:color="auto" w:fill="auto"/>
            <w:vAlign w:val="center"/>
          </w:tcPr>
          <w:p w14:paraId="0F9DD92E">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59C0F7F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680B39B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r>
      <w:tr w14:paraId="15A7E342">
        <w:tblPrEx>
          <w:tblCellMar>
            <w:top w:w="0" w:type="dxa"/>
            <w:left w:w="108" w:type="dxa"/>
            <w:bottom w:w="0" w:type="dxa"/>
            <w:right w:w="108" w:type="dxa"/>
          </w:tblCellMar>
        </w:tblPrEx>
        <w:trPr>
          <w:trHeight w:val="386" w:hRule="atLeast"/>
          <w:jc w:val="center"/>
        </w:trPr>
        <w:tc>
          <w:tcPr>
            <w:tcW w:w="1106" w:type="dxa"/>
            <w:vMerge w:val="continue"/>
            <w:tcBorders>
              <w:left w:val="single" w:color="auto" w:sz="4" w:space="0"/>
              <w:right w:val="single" w:color="auto" w:sz="4" w:space="0"/>
            </w:tcBorders>
            <w:shd w:val="clear" w:color="auto" w:fill="auto"/>
            <w:vAlign w:val="center"/>
          </w:tcPr>
          <w:p w14:paraId="1923234E">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restart"/>
            <w:tcBorders>
              <w:top w:val="nil"/>
              <w:left w:val="nil"/>
              <w:right w:val="single" w:color="auto" w:sz="4" w:space="0"/>
            </w:tcBorders>
            <w:shd w:val="clear" w:color="auto" w:fill="auto"/>
            <w:vAlign w:val="center"/>
          </w:tcPr>
          <w:p w14:paraId="44775D1F">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糖尿病胰岛素治疗</w:t>
            </w:r>
          </w:p>
        </w:tc>
        <w:tc>
          <w:tcPr>
            <w:tcW w:w="1524" w:type="dxa"/>
            <w:tcBorders>
              <w:top w:val="nil"/>
              <w:left w:val="nil"/>
              <w:bottom w:val="single" w:color="auto" w:sz="4" w:space="0"/>
              <w:right w:val="single" w:color="auto" w:sz="4" w:space="0"/>
            </w:tcBorders>
            <w:shd w:val="clear" w:color="auto" w:fill="auto"/>
            <w:vAlign w:val="center"/>
          </w:tcPr>
          <w:p w14:paraId="2EC2814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83" w:type="dxa"/>
            <w:tcBorders>
              <w:top w:val="single" w:color="auto" w:sz="4" w:space="0"/>
              <w:left w:val="nil"/>
              <w:bottom w:val="single" w:color="auto" w:sz="4" w:space="0"/>
              <w:right w:val="single" w:color="auto" w:sz="4" w:space="0"/>
            </w:tcBorders>
            <w:shd w:val="clear" w:color="auto" w:fill="auto"/>
            <w:vAlign w:val="center"/>
          </w:tcPr>
          <w:p w14:paraId="4614354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31AB8FDA">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51F3B5FF">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r>
      <w:tr w14:paraId="6414104A">
        <w:tblPrEx>
          <w:tblCellMar>
            <w:top w:w="0" w:type="dxa"/>
            <w:left w:w="108" w:type="dxa"/>
            <w:bottom w:w="0" w:type="dxa"/>
            <w:right w:w="108" w:type="dxa"/>
          </w:tblCellMar>
        </w:tblPrEx>
        <w:trPr>
          <w:trHeight w:val="454" w:hRule="atLeast"/>
          <w:jc w:val="center"/>
        </w:trPr>
        <w:tc>
          <w:tcPr>
            <w:tcW w:w="1106" w:type="dxa"/>
            <w:vMerge w:val="continue"/>
            <w:tcBorders>
              <w:left w:val="single" w:color="auto" w:sz="4" w:space="0"/>
              <w:right w:val="single" w:color="auto" w:sz="4" w:space="0"/>
            </w:tcBorders>
            <w:shd w:val="clear" w:color="auto" w:fill="auto"/>
            <w:vAlign w:val="center"/>
          </w:tcPr>
          <w:p w14:paraId="0DAB5D60">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right w:val="single" w:color="auto" w:sz="4" w:space="0"/>
            </w:tcBorders>
            <w:shd w:val="clear" w:color="auto" w:fill="auto"/>
            <w:vAlign w:val="center"/>
          </w:tcPr>
          <w:p w14:paraId="65FF214B">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nil"/>
              <w:left w:val="nil"/>
              <w:bottom w:val="single" w:color="auto" w:sz="4" w:space="0"/>
              <w:right w:val="single" w:color="auto" w:sz="4" w:space="0"/>
            </w:tcBorders>
            <w:shd w:val="clear" w:color="auto" w:fill="auto"/>
            <w:vAlign w:val="center"/>
          </w:tcPr>
          <w:p w14:paraId="4633D03D">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在定点零售药店发生的费用，</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70%</w:t>
            </w:r>
          </w:p>
        </w:tc>
      </w:tr>
      <w:tr w14:paraId="552A4837">
        <w:tblPrEx>
          <w:tblCellMar>
            <w:top w:w="0" w:type="dxa"/>
            <w:left w:w="108" w:type="dxa"/>
            <w:bottom w:w="0" w:type="dxa"/>
            <w:right w:w="108" w:type="dxa"/>
          </w:tblCellMar>
        </w:tblPrEx>
        <w:trPr>
          <w:trHeight w:val="454" w:hRule="atLeast"/>
          <w:jc w:val="center"/>
        </w:trPr>
        <w:tc>
          <w:tcPr>
            <w:tcW w:w="1106" w:type="dxa"/>
            <w:vMerge w:val="continue"/>
            <w:tcBorders>
              <w:left w:val="single" w:color="auto" w:sz="4" w:space="0"/>
              <w:right w:val="single" w:color="auto" w:sz="4" w:space="0"/>
            </w:tcBorders>
            <w:shd w:val="clear" w:color="auto" w:fill="auto"/>
            <w:vAlign w:val="center"/>
          </w:tcPr>
          <w:p w14:paraId="0A6400BD">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bottom w:val="single" w:color="auto" w:sz="4" w:space="0"/>
              <w:right w:val="single" w:color="auto" w:sz="4" w:space="0"/>
            </w:tcBorders>
            <w:shd w:val="clear" w:color="auto" w:fill="auto"/>
            <w:vAlign w:val="center"/>
          </w:tcPr>
          <w:p w14:paraId="2AFB8DC2">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nil"/>
              <w:left w:val="nil"/>
              <w:bottom w:val="single" w:color="auto" w:sz="4" w:space="0"/>
              <w:right w:val="single" w:color="auto" w:sz="4" w:space="0"/>
            </w:tcBorders>
            <w:shd w:val="clear" w:color="auto" w:fill="auto"/>
            <w:vAlign w:val="center"/>
          </w:tcPr>
          <w:p w14:paraId="0D86C8F4">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统筹金年度最多支付不超过2400元</w:t>
            </w:r>
          </w:p>
        </w:tc>
      </w:tr>
      <w:tr w14:paraId="6FB203BB">
        <w:tblPrEx>
          <w:tblCellMar>
            <w:top w:w="0" w:type="dxa"/>
            <w:left w:w="108" w:type="dxa"/>
            <w:bottom w:w="0" w:type="dxa"/>
            <w:right w:w="108" w:type="dxa"/>
          </w:tblCellMar>
        </w:tblPrEx>
        <w:trPr>
          <w:trHeight w:val="473" w:hRule="atLeast"/>
          <w:jc w:val="center"/>
        </w:trPr>
        <w:tc>
          <w:tcPr>
            <w:tcW w:w="1106" w:type="dxa"/>
            <w:vMerge w:val="continue"/>
            <w:tcBorders>
              <w:left w:val="single" w:color="auto" w:sz="4" w:space="0"/>
              <w:right w:val="single" w:color="auto" w:sz="4" w:space="0"/>
            </w:tcBorders>
            <w:shd w:val="clear" w:color="auto" w:fill="auto"/>
            <w:vAlign w:val="center"/>
          </w:tcPr>
          <w:p w14:paraId="4EA84056">
            <w:pPr>
              <w:adjustRightInd/>
              <w:snapToGrid/>
              <w:spacing w:after="0"/>
              <w:jc w:val="center"/>
              <w:rPr>
                <w:rFonts w:hint="eastAsia" w:ascii="仿宋" w:hAnsi="仿宋" w:eastAsia="仿宋" w:cs="仿宋"/>
                <w:color w:val="auto"/>
                <w:sz w:val="24"/>
                <w:szCs w:val="24"/>
                <w:highlight w:val="none"/>
              </w:rPr>
            </w:pPr>
          </w:p>
        </w:tc>
        <w:tc>
          <w:tcPr>
            <w:tcW w:w="4054" w:type="dxa"/>
            <w:gridSpan w:val="2"/>
            <w:tcBorders>
              <w:top w:val="nil"/>
              <w:left w:val="nil"/>
              <w:bottom w:val="single" w:color="auto" w:sz="4" w:space="0"/>
              <w:right w:val="single" w:color="auto" w:sz="4" w:space="0"/>
            </w:tcBorders>
            <w:shd w:val="clear" w:color="auto" w:fill="auto"/>
            <w:vAlign w:val="center"/>
          </w:tcPr>
          <w:p w14:paraId="7BEFEB5B">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肺结核、重性精神病药物维持治疗</w:t>
            </w:r>
          </w:p>
        </w:tc>
        <w:tc>
          <w:tcPr>
            <w:tcW w:w="6239" w:type="dxa"/>
            <w:gridSpan w:val="4"/>
            <w:tcBorders>
              <w:top w:val="nil"/>
              <w:left w:val="nil"/>
              <w:bottom w:val="single" w:color="auto" w:sz="4" w:space="0"/>
              <w:right w:val="single" w:color="auto" w:sz="4" w:space="0"/>
            </w:tcBorders>
            <w:shd w:val="clear" w:color="auto" w:fill="auto"/>
            <w:vAlign w:val="center"/>
          </w:tcPr>
          <w:p w14:paraId="719424D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r>
      <w:tr w14:paraId="2BA8F1BD">
        <w:tblPrEx>
          <w:tblCellMar>
            <w:top w:w="0" w:type="dxa"/>
            <w:left w:w="108" w:type="dxa"/>
            <w:bottom w:w="0" w:type="dxa"/>
            <w:right w:w="108" w:type="dxa"/>
          </w:tblCellMar>
        </w:tblPrEx>
        <w:trPr>
          <w:trHeight w:val="473" w:hRule="atLeast"/>
          <w:jc w:val="center"/>
        </w:trPr>
        <w:tc>
          <w:tcPr>
            <w:tcW w:w="1106" w:type="dxa"/>
            <w:vMerge w:val="continue"/>
            <w:tcBorders>
              <w:left w:val="single" w:color="auto" w:sz="4" w:space="0"/>
              <w:right w:val="single" w:color="auto" w:sz="4" w:space="0"/>
            </w:tcBorders>
            <w:shd w:val="clear" w:color="auto" w:fill="auto"/>
            <w:vAlign w:val="center"/>
          </w:tcPr>
          <w:p w14:paraId="7BBE72EC">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restart"/>
            <w:tcBorders>
              <w:top w:val="nil"/>
              <w:left w:val="nil"/>
              <w:right w:val="single" w:color="auto" w:sz="4" w:space="0"/>
            </w:tcBorders>
            <w:shd w:val="clear" w:color="auto" w:fill="auto"/>
            <w:vAlign w:val="center"/>
          </w:tcPr>
          <w:p w14:paraId="688F2987">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特殊药品（靶向用药）</w:t>
            </w:r>
          </w:p>
        </w:tc>
        <w:tc>
          <w:tcPr>
            <w:tcW w:w="3107" w:type="dxa"/>
            <w:gridSpan w:val="2"/>
            <w:tcBorders>
              <w:top w:val="nil"/>
              <w:left w:val="nil"/>
              <w:bottom w:val="single" w:color="auto" w:sz="4" w:space="0"/>
              <w:right w:val="single" w:color="auto" w:sz="4" w:space="0"/>
            </w:tcBorders>
            <w:shd w:val="clear" w:color="auto" w:fill="auto"/>
            <w:vAlign w:val="center"/>
          </w:tcPr>
          <w:p w14:paraId="15BC47B8">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w:t>
            </w:r>
          </w:p>
        </w:tc>
        <w:tc>
          <w:tcPr>
            <w:tcW w:w="1541" w:type="dxa"/>
            <w:tcBorders>
              <w:top w:val="nil"/>
              <w:left w:val="nil"/>
              <w:bottom w:val="single" w:color="auto" w:sz="4" w:space="0"/>
              <w:right w:val="single" w:color="auto" w:sz="4" w:space="0"/>
            </w:tcBorders>
            <w:shd w:val="clear" w:color="auto" w:fill="auto"/>
            <w:vAlign w:val="center"/>
          </w:tcPr>
          <w:p w14:paraId="3C251F29">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c>
          <w:tcPr>
            <w:tcW w:w="1591" w:type="dxa"/>
            <w:tcBorders>
              <w:top w:val="nil"/>
              <w:left w:val="nil"/>
              <w:bottom w:val="single" w:color="auto" w:sz="4" w:space="0"/>
              <w:right w:val="single" w:color="auto" w:sz="4" w:space="0"/>
            </w:tcBorders>
            <w:shd w:val="clear" w:color="auto" w:fill="auto"/>
            <w:vAlign w:val="center"/>
          </w:tcPr>
          <w:p w14:paraId="3E54790D">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r>
      <w:tr w14:paraId="3D61A3D8">
        <w:tblPrEx>
          <w:tblCellMar>
            <w:top w:w="0" w:type="dxa"/>
            <w:left w:w="108" w:type="dxa"/>
            <w:bottom w:w="0" w:type="dxa"/>
            <w:right w:w="108" w:type="dxa"/>
          </w:tblCellMar>
        </w:tblPrEx>
        <w:trPr>
          <w:trHeight w:val="453" w:hRule="atLeast"/>
          <w:jc w:val="center"/>
        </w:trPr>
        <w:tc>
          <w:tcPr>
            <w:tcW w:w="1106" w:type="dxa"/>
            <w:vMerge w:val="continue"/>
            <w:tcBorders>
              <w:left w:val="single" w:color="auto" w:sz="4" w:space="0"/>
              <w:bottom w:val="single" w:color="auto" w:sz="4" w:space="0"/>
              <w:right w:val="single" w:color="auto" w:sz="4" w:space="0"/>
            </w:tcBorders>
            <w:shd w:val="clear" w:color="auto" w:fill="auto"/>
            <w:vAlign w:val="center"/>
          </w:tcPr>
          <w:p w14:paraId="5EAABF35">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bottom w:val="single" w:color="auto" w:sz="0" w:space="0"/>
              <w:right w:val="single" w:color="auto" w:sz="4" w:space="0"/>
            </w:tcBorders>
            <w:shd w:val="clear" w:color="auto" w:fill="auto"/>
            <w:vAlign w:val="center"/>
          </w:tcPr>
          <w:p w14:paraId="23B7D330">
            <w:pPr>
              <w:adjustRightInd/>
              <w:snapToGrid/>
              <w:spacing w:after="0"/>
              <w:jc w:val="center"/>
              <w:rPr>
                <w:rFonts w:hint="eastAsia" w:ascii="仿宋" w:hAnsi="仿宋" w:eastAsia="仿宋" w:cs="仿宋"/>
                <w:color w:val="auto"/>
                <w:sz w:val="24"/>
                <w:szCs w:val="24"/>
                <w:highlight w:val="none"/>
                <w:lang w:eastAsia="zh-CN"/>
              </w:rPr>
            </w:pPr>
          </w:p>
        </w:tc>
        <w:tc>
          <w:tcPr>
            <w:tcW w:w="6239" w:type="dxa"/>
            <w:gridSpan w:val="4"/>
            <w:tcBorders>
              <w:top w:val="nil"/>
              <w:left w:val="nil"/>
              <w:bottom w:val="single" w:color="auto" w:sz="4" w:space="0"/>
              <w:right w:val="single" w:color="auto" w:sz="4" w:space="0"/>
            </w:tcBorders>
            <w:shd w:val="clear" w:color="auto" w:fill="auto"/>
            <w:vAlign w:val="center"/>
          </w:tcPr>
          <w:p w14:paraId="6D08F01D">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在定点零售药店发生的费用，</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70%</w:t>
            </w:r>
          </w:p>
        </w:tc>
      </w:tr>
      <w:tr w14:paraId="5D5D55F1">
        <w:tblPrEx>
          <w:tblCellMar>
            <w:top w:w="0" w:type="dxa"/>
            <w:left w:w="108" w:type="dxa"/>
            <w:bottom w:w="0" w:type="dxa"/>
            <w:right w:w="108" w:type="dxa"/>
          </w:tblCellMar>
        </w:tblPrEx>
        <w:trPr>
          <w:trHeight w:val="1164" w:hRule="atLeast"/>
          <w:jc w:val="center"/>
        </w:trPr>
        <w:tc>
          <w:tcPr>
            <w:tcW w:w="1106" w:type="dxa"/>
            <w:vMerge w:val="restart"/>
            <w:tcBorders>
              <w:top w:val="single" w:color="auto" w:sz="4" w:space="0"/>
              <w:left w:val="single" w:color="auto" w:sz="4" w:space="0"/>
              <w:bottom w:val="single" w:color="auto" w:sz="4" w:space="0"/>
              <w:right w:val="single" w:color="auto" w:sz="0" w:space="0"/>
            </w:tcBorders>
            <w:shd w:val="clear" w:color="auto" w:fill="auto"/>
            <w:vAlign w:val="center"/>
          </w:tcPr>
          <w:p w14:paraId="7C987BD6">
            <w:pPr>
              <w:adjustRightInd/>
              <w:snapToGrid/>
              <w:spacing w:after="0"/>
              <w:jc w:val="both"/>
              <w:rPr>
                <w:rFonts w:hint="eastAsia" w:ascii="仿宋" w:hAnsi="仿宋" w:eastAsia="仿宋" w:cs="仿宋"/>
                <w:color w:val="auto"/>
                <w:sz w:val="24"/>
                <w:szCs w:val="24"/>
                <w:highlight w:val="none"/>
                <w:lang w:eastAsia="zh-CN"/>
              </w:rPr>
            </w:pPr>
          </w:p>
          <w:p w14:paraId="320DD37D">
            <w:pPr>
              <w:adjustRightInd/>
              <w:snapToGrid/>
              <w:spacing w:after="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学生</w:t>
            </w:r>
          </w:p>
          <w:p w14:paraId="49118C16">
            <w:pPr>
              <w:adjustRightInd/>
              <w:snapToGrid/>
              <w:spacing w:after="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儿童</w:t>
            </w:r>
          </w:p>
          <w:p w14:paraId="5CFA49D3">
            <w:pPr>
              <w:adjustRightInd/>
              <w:snapToGrid/>
              <w:spacing w:after="0"/>
              <w:jc w:val="both"/>
              <w:rPr>
                <w:rFonts w:hint="eastAsia" w:ascii="仿宋" w:hAnsi="仿宋" w:eastAsia="仿宋" w:cs="仿宋"/>
                <w:color w:val="auto"/>
                <w:sz w:val="24"/>
                <w:szCs w:val="24"/>
                <w:highlight w:val="none"/>
                <w:lang w:eastAsia="zh-CN"/>
              </w:rPr>
            </w:pPr>
          </w:p>
          <w:p w14:paraId="619EE6FE">
            <w:pPr>
              <w:adjustRightInd/>
              <w:snapToGrid/>
              <w:spacing w:after="0"/>
              <w:jc w:val="center"/>
              <w:rPr>
                <w:rFonts w:hint="eastAsia" w:ascii="仿宋" w:hAnsi="仿宋" w:eastAsia="仿宋" w:cs="仿宋"/>
                <w:color w:val="auto"/>
                <w:sz w:val="24"/>
                <w:szCs w:val="24"/>
                <w:highlight w:val="none"/>
                <w:lang w:eastAsia="zh-CN"/>
              </w:rPr>
            </w:pPr>
          </w:p>
          <w:p w14:paraId="4B44097C">
            <w:pPr>
              <w:adjustRightInd/>
              <w:snapToGrid/>
              <w:spacing w:after="0"/>
              <w:jc w:val="center"/>
              <w:rPr>
                <w:rFonts w:hint="eastAsia" w:ascii="仿宋" w:hAnsi="仿宋" w:eastAsia="仿宋" w:cs="仿宋"/>
                <w:color w:val="auto"/>
                <w:sz w:val="24"/>
                <w:szCs w:val="24"/>
                <w:highlight w:val="none"/>
                <w:lang w:eastAsia="zh-CN"/>
              </w:rPr>
            </w:pPr>
          </w:p>
          <w:p w14:paraId="232AB38A">
            <w:pPr>
              <w:adjustRightInd/>
              <w:snapToGrid/>
              <w:spacing w:after="0"/>
              <w:jc w:val="center"/>
              <w:rPr>
                <w:rFonts w:hint="eastAsia" w:ascii="仿宋" w:hAnsi="仿宋" w:eastAsia="仿宋" w:cs="仿宋"/>
                <w:color w:val="auto"/>
                <w:sz w:val="24"/>
                <w:szCs w:val="24"/>
                <w:highlight w:val="none"/>
                <w:lang w:eastAsia="zh-CN"/>
              </w:rPr>
            </w:pPr>
          </w:p>
          <w:p w14:paraId="29DB8D24">
            <w:pPr>
              <w:adjustRightInd/>
              <w:snapToGrid/>
              <w:spacing w:after="0"/>
              <w:jc w:val="center"/>
              <w:rPr>
                <w:rFonts w:hint="eastAsia" w:ascii="仿宋" w:hAnsi="仿宋" w:eastAsia="仿宋" w:cs="仿宋"/>
                <w:color w:val="auto"/>
                <w:sz w:val="24"/>
                <w:szCs w:val="24"/>
                <w:highlight w:val="none"/>
                <w:lang w:eastAsia="zh-CN"/>
              </w:rPr>
            </w:pPr>
          </w:p>
          <w:p w14:paraId="79AE69D2">
            <w:pPr>
              <w:adjustRightInd/>
              <w:snapToGrid/>
              <w:spacing w:after="0"/>
              <w:jc w:val="center"/>
              <w:rPr>
                <w:rFonts w:hint="eastAsia" w:ascii="仿宋" w:hAnsi="仿宋" w:eastAsia="仿宋" w:cs="仿宋"/>
                <w:color w:val="auto"/>
                <w:sz w:val="24"/>
                <w:szCs w:val="24"/>
                <w:highlight w:val="none"/>
                <w:lang w:eastAsia="zh-CN"/>
              </w:rPr>
            </w:pPr>
          </w:p>
          <w:p w14:paraId="5F2CA138">
            <w:pPr>
              <w:adjustRightInd/>
              <w:snapToGrid/>
              <w:spacing w:after="0"/>
              <w:jc w:val="center"/>
              <w:rPr>
                <w:rFonts w:hint="eastAsia" w:ascii="仿宋" w:hAnsi="仿宋" w:eastAsia="仿宋" w:cs="仿宋"/>
                <w:color w:val="auto"/>
                <w:sz w:val="24"/>
                <w:szCs w:val="24"/>
                <w:highlight w:val="none"/>
                <w:lang w:eastAsia="zh-CN"/>
              </w:rPr>
            </w:pPr>
          </w:p>
          <w:p w14:paraId="5878BD71">
            <w:pPr>
              <w:adjustRightInd/>
              <w:snapToGrid/>
              <w:spacing w:after="0"/>
              <w:jc w:val="center"/>
              <w:rPr>
                <w:rFonts w:hint="eastAsia" w:ascii="仿宋" w:hAnsi="仿宋" w:eastAsia="仿宋" w:cs="仿宋"/>
                <w:color w:val="auto"/>
                <w:sz w:val="24"/>
                <w:szCs w:val="24"/>
                <w:highlight w:val="none"/>
                <w:lang w:eastAsia="zh-CN"/>
              </w:rPr>
            </w:pPr>
          </w:p>
          <w:p w14:paraId="66B23791">
            <w:pPr>
              <w:adjustRightInd/>
              <w:snapToGrid/>
              <w:spacing w:after="0"/>
              <w:jc w:val="center"/>
              <w:rPr>
                <w:rFonts w:hint="eastAsia" w:ascii="仿宋" w:hAnsi="仿宋" w:eastAsia="仿宋" w:cs="仿宋"/>
                <w:color w:val="auto"/>
                <w:sz w:val="24"/>
                <w:szCs w:val="24"/>
                <w:highlight w:val="none"/>
                <w:lang w:eastAsia="zh-CN"/>
              </w:rPr>
            </w:pPr>
          </w:p>
          <w:p w14:paraId="3F4E2345">
            <w:pPr>
              <w:adjustRightInd/>
              <w:snapToGrid/>
              <w:spacing w:after="0"/>
              <w:jc w:val="center"/>
              <w:rPr>
                <w:rFonts w:hint="eastAsia" w:ascii="仿宋" w:hAnsi="仿宋" w:eastAsia="仿宋" w:cs="仿宋"/>
                <w:color w:val="auto"/>
                <w:sz w:val="24"/>
                <w:szCs w:val="24"/>
                <w:highlight w:val="none"/>
                <w:lang w:eastAsia="zh-CN"/>
              </w:rPr>
            </w:pPr>
          </w:p>
          <w:p w14:paraId="3B372E57">
            <w:pPr>
              <w:adjustRightInd/>
              <w:snapToGrid/>
              <w:spacing w:after="0"/>
              <w:jc w:val="center"/>
              <w:rPr>
                <w:rFonts w:hint="eastAsia" w:ascii="仿宋" w:hAnsi="仿宋" w:eastAsia="仿宋" w:cs="仿宋"/>
                <w:color w:val="auto"/>
                <w:sz w:val="24"/>
                <w:szCs w:val="24"/>
                <w:highlight w:val="none"/>
                <w:lang w:eastAsia="zh-CN"/>
              </w:rPr>
            </w:pPr>
          </w:p>
          <w:p w14:paraId="7FD7778A">
            <w:pPr>
              <w:adjustRightInd/>
              <w:snapToGrid/>
              <w:spacing w:after="0"/>
              <w:jc w:val="center"/>
              <w:rPr>
                <w:rFonts w:hint="eastAsia" w:ascii="仿宋" w:hAnsi="仿宋" w:eastAsia="仿宋" w:cs="仿宋"/>
                <w:color w:val="auto"/>
                <w:sz w:val="24"/>
                <w:szCs w:val="24"/>
                <w:highlight w:val="none"/>
                <w:lang w:eastAsia="zh-CN"/>
              </w:rPr>
            </w:pPr>
          </w:p>
          <w:p w14:paraId="0C445EBA">
            <w:pPr>
              <w:adjustRightInd/>
              <w:snapToGrid/>
              <w:spacing w:after="0"/>
              <w:jc w:val="center"/>
              <w:rPr>
                <w:rFonts w:hint="eastAsia" w:ascii="仿宋" w:hAnsi="仿宋" w:eastAsia="仿宋" w:cs="仿宋"/>
                <w:color w:val="auto"/>
                <w:sz w:val="24"/>
                <w:szCs w:val="24"/>
                <w:highlight w:val="none"/>
                <w:lang w:eastAsia="zh-CN"/>
              </w:rPr>
            </w:pPr>
          </w:p>
          <w:p w14:paraId="2F9D4315">
            <w:pPr>
              <w:adjustRightInd/>
              <w:snapToGrid/>
              <w:spacing w:after="0"/>
              <w:jc w:val="center"/>
              <w:rPr>
                <w:rFonts w:hint="eastAsia" w:ascii="仿宋" w:hAnsi="仿宋" w:eastAsia="仿宋" w:cs="仿宋"/>
                <w:color w:val="auto"/>
                <w:sz w:val="24"/>
                <w:szCs w:val="24"/>
                <w:highlight w:val="none"/>
                <w:lang w:eastAsia="zh-CN"/>
              </w:rPr>
            </w:pPr>
          </w:p>
          <w:p w14:paraId="508D6D28">
            <w:pPr>
              <w:adjustRightInd/>
              <w:snapToGrid/>
              <w:spacing w:after="0"/>
              <w:jc w:val="center"/>
              <w:rPr>
                <w:rFonts w:hint="eastAsia" w:ascii="仿宋" w:hAnsi="仿宋" w:eastAsia="仿宋" w:cs="仿宋"/>
                <w:color w:val="auto"/>
                <w:sz w:val="24"/>
                <w:szCs w:val="24"/>
                <w:highlight w:val="none"/>
                <w:lang w:eastAsia="zh-CN"/>
              </w:rPr>
            </w:pPr>
          </w:p>
          <w:p w14:paraId="333A0B68">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学生</w:t>
            </w:r>
          </w:p>
          <w:p w14:paraId="771890DA">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儿童</w:t>
            </w:r>
          </w:p>
          <w:p w14:paraId="438C87BB">
            <w:pPr>
              <w:adjustRightInd/>
              <w:snapToGrid/>
              <w:spacing w:after="0"/>
              <w:jc w:val="center"/>
              <w:rPr>
                <w:rFonts w:hint="eastAsia" w:ascii="仿宋" w:hAnsi="仿宋" w:eastAsia="仿宋" w:cs="仿宋"/>
                <w:color w:val="auto"/>
                <w:sz w:val="24"/>
                <w:szCs w:val="24"/>
                <w:highlight w:val="none"/>
                <w:lang w:eastAsia="zh-CN"/>
              </w:rPr>
            </w:pPr>
          </w:p>
          <w:p w14:paraId="1C13E053">
            <w:pPr>
              <w:adjustRightInd/>
              <w:snapToGrid/>
              <w:spacing w:after="0"/>
              <w:jc w:val="center"/>
              <w:rPr>
                <w:rFonts w:hint="eastAsia" w:ascii="仿宋" w:hAnsi="仿宋" w:eastAsia="仿宋" w:cs="仿宋"/>
                <w:color w:val="auto"/>
                <w:sz w:val="24"/>
                <w:szCs w:val="24"/>
                <w:highlight w:val="none"/>
                <w:lang w:eastAsia="zh-CN"/>
              </w:rPr>
            </w:pPr>
          </w:p>
          <w:p w14:paraId="3EAF2310">
            <w:pPr>
              <w:adjustRightInd/>
              <w:snapToGrid/>
              <w:spacing w:after="0"/>
              <w:jc w:val="center"/>
              <w:rPr>
                <w:rFonts w:hint="eastAsia" w:ascii="仿宋" w:hAnsi="仿宋" w:eastAsia="仿宋" w:cs="仿宋"/>
                <w:color w:val="auto"/>
                <w:sz w:val="24"/>
                <w:szCs w:val="24"/>
                <w:highlight w:val="none"/>
                <w:lang w:eastAsia="zh-CN"/>
              </w:rPr>
            </w:pPr>
          </w:p>
          <w:p w14:paraId="5FB243F3">
            <w:pPr>
              <w:adjustRightInd/>
              <w:snapToGrid/>
              <w:spacing w:after="0"/>
              <w:jc w:val="center"/>
              <w:rPr>
                <w:rFonts w:hint="eastAsia" w:ascii="仿宋" w:hAnsi="仿宋" w:eastAsia="仿宋" w:cs="仿宋"/>
                <w:color w:val="auto"/>
                <w:sz w:val="24"/>
                <w:szCs w:val="24"/>
                <w:highlight w:val="none"/>
                <w:lang w:eastAsia="zh-CN"/>
              </w:rPr>
            </w:pPr>
          </w:p>
          <w:p w14:paraId="322DD5EA">
            <w:pPr>
              <w:adjustRightInd/>
              <w:snapToGrid/>
              <w:spacing w:after="0"/>
              <w:jc w:val="center"/>
              <w:rPr>
                <w:rFonts w:hint="eastAsia" w:ascii="仿宋" w:hAnsi="仿宋" w:eastAsia="仿宋" w:cs="仿宋"/>
                <w:color w:val="auto"/>
                <w:sz w:val="24"/>
                <w:szCs w:val="24"/>
                <w:highlight w:val="none"/>
                <w:lang w:eastAsia="zh-CN"/>
              </w:rPr>
            </w:pPr>
          </w:p>
          <w:p w14:paraId="37F4623D">
            <w:pPr>
              <w:adjustRightInd/>
              <w:snapToGrid/>
              <w:spacing w:after="0"/>
              <w:jc w:val="center"/>
              <w:rPr>
                <w:rFonts w:hint="eastAsia" w:ascii="仿宋" w:hAnsi="仿宋" w:eastAsia="仿宋" w:cs="仿宋"/>
                <w:color w:val="auto"/>
                <w:sz w:val="24"/>
                <w:szCs w:val="24"/>
                <w:highlight w:val="none"/>
                <w:lang w:eastAsia="zh-CN"/>
              </w:rPr>
            </w:pPr>
          </w:p>
          <w:p w14:paraId="29461D66">
            <w:pPr>
              <w:adjustRightInd/>
              <w:snapToGrid/>
              <w:spacing w:after="0"/>
              <w:jc w:val="center"/>
              <w:rPr>
                <w:rFonts w:hint="eastAsia" w:ascii="仿宋" w:hAnsi="仿宋" w:eastAsia="仿宋" w:cs="仿宋"/>
                <w:color w:val="auto"/>
                <w:sz w:val="24"/>
                <w:szCs w:val="24"/>
                <w:highlight w:val="none"/>
                <w:lang w:eastAsia="zh-CN"/>
              </w:rPr>
            </w:pPr>
          </w:p>
          <w:p w14:paraId="14167ECC">
            <w:pPr>
              <w:adjustRightInd/>
              <w:snapToGrid/>
              <w:spacing w:after="0"/>
              <w:jc w:val="center"/>
              <w:rPr>
                <w:rFonts w:hint="eastAsia" w:ascii="仿宋" w:hAnsi="仿宋" w:eastAsia="仿宋" w:cs="仿宋"/>
                <w:color w:val="auto"/>
                <w:sz w:val="24"/>
                <w:szCs w:val="24"/>
                <w:highlight w:val="none"/>
                <w:lang w:eastAsia="zh-CN"/>
              </w:rPr>
            </w:pPr>
          </w:p>
          <w:p w14:paraId="3C0ABA42">
            <w:pPr>
              <w:adjustRightInd/>
              <w:snapToGrid/>
              <w:spacing w:after="0"/>
              <w:jc w:val="center"/>
              <w:rPr>
                <w:rFonts w:hint="eastAsia" w:ascii="仿宋" w:hAnsi="仿宋" w:eastAsia="仿宋" w:cs="仿宋"/>
                <w:color w:val="auto"/>
                <w:sz w:val="24"/>
                <w:szCs w:val="24"/>
                <w:highlight w:val="none"/>
                <w:lang w:eastAsia="zh-CN"/>
              </w:rPr>
            </w:pPr>
          </w:p>
          <w:p w14:paraId="2F94E47E">
            <w:pPr>
              <w:adjustRightInd/>
              <w:snapToGrid/>
              <w:spacing w:after="0"/>
              <w:jc w:val="center"/>
              <w:rPr>
                <w:rFonts w:hint="eastAsia" w:ascii="仿宋" w:hAnsi="仿宋" w:eastAsia="仿宋" w:cs="仿宋"/>
                <w:color w:val="auto"/>
                <w:sz w:val="24"/>
                <w:szCs w:val="24"/>
                <w:highlight w:val="none"/>
                <w:lang w:eastAsia="zh-CN"/>
              </w:rPr>
            </w:pPr>
          </w:p>
          <w:p w14:paraId="61B2AA81">
            <w:pPr>
              <w:adjustRightInd/>
              <w:snapToGrid/>
              <w:spacing w:after="0"/>
              <w:jc w:val="center"/>
              <w:rPr>
                <w:rFonts w:hint="eastAsia" w:ascii="仿宋" w:hAnsi="仿宋" w:eastAsia="仿宋" w:cs="仿宋"/>
                <w:color w:val="auto"/>
                <w:sz w:val="24"/>
                <w:szCs w:val="24"/>
                <w:highlight w:val="none"/>
                <w:lang w:eastAsia="zh-CN"/>
              </w:rPr>
            </w:pPr>
          </w:p>
          <w:p w14:paraId="7623F48E">
            <w:pPr>
              <w:adjustRightInd/>
              <w:snapToGrid/>
              <w:spacing w:after="0"/>
              <w:jc w:val="center"/>
              <w:rPr>
                <w:rFonts w:hint="eastAsia" w:ascii="仿宋" w:hAnsi="仿宋" w:eastAsia="仿宋" w:cs="仿宋"/>
                <w:color w:val="auto"/>
                <w:sz w:val="24"/>
                <w:szCs w:val="24"/>
                <w:highlight w:val="none"/>
                <w:lang w:eastAsia="zh-CN"/>
              </w:rPr>
            </w:pPr>
          </w:p>
          <w:p w14:paraId="2D342B13">
            <w:pPr>
              <w:adjustRightInd/>
              <w:snapToGrid/>
              <w:spacing w:after="0"/>
              <w:jc w:val="center"/>
              <w:rPr>
                <w:rFonts w:hint="eastAsia" w:ascii="仿宋" w:hAnsi="仿宋" w:eastAsia="仿宋" w:cs="仿宋"/>
                <w:color w:val="auto"/>
                <w:sz w:val="24"/>
                <w:szCs w:val="24"/>
                <w:highlight w:val="none"/>
                <w:lang w:eastAsia="zh-CN"/>
              </w:rPr>
            </w:pPr>
          </w:p>
        </w:tc>
        <w:tc>
          <w:tcPr>
            <w:tcW w:w="4054" w:type="dxa"/>
            <w:gridSpan w:val="2"/>
            <w:tcBorders>
              <w:top w:val="single" w:color="auto" w:sz="0" w:space="0"/>
              <w:left w:val="single" w:color="auto" w:sz="0" w:space="0"/>
              <w:bottom w:val="single" w:color="auto" w:sz="0" w:space="0"/>
              <w:right w:val="single" w:color="auto" w:sz="0" w:space="0"/>
            </w:tcBorders>
            <w:shd w:val="clear" w:color="auto" w:fill="auto"/>
            <w:vAlign w:val="center"/>
          </w:tcPr>
          <w:p w14:paraId="0EE4DDA3">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恶性肿瘤</w:t>
            </w:r>
          </w:p>
          <w:p w14:paraId="0CC87AC6">
            <w:pPr>
              <w:adjustRightInd/>
              <w:snapToGri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放疗、化疗、免疫治疗、内分泌治疗、抗疼痛治疗以及与病情相关的一次性医用材料、检查检验、服务设施等费用</w:t>
            </w:r>
          </w:p>
        </w:tc>
        <w:tc>
          <w:tcPr>
            <w:tcW w:w="1524" w:type="dxa"/>
            <w:tcBorders>
              <w:top w:val="nil"/>
              <w:left w:val="single" w:color="auto" w:sz="0" w:space="0"/>
              <w:bottom w:val="single" w:color="auto" w:sz="4" w:space="0"/>
              <w:right w:val="single" w:color="auto" w:sz="4" w:space="0"/>
            </w:tcBorders>
            <w:shd w:val="clear" w:color="auto" w:fill="auto"/>
            <w:vAlign w:val="center"/>
          </w:tcPr>
          <w:p w14:paraId="3A33F41A">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83" w:type="dxa"/>
            <w:tcBorders>
              <w:top w:val="nil"/>
              <w:left w:val="nil"/>
              <w:bottom w:val="single" w:color="auto" w:sz="4" w:space="0"/>
              <w:right w:val="single" w:color="auto" w:sz="4" w:space="0"/>
            </w:tcBorders>
            <w:shd w:val="clear" w:color="auto" w:fill="auto"/>
            <w:vAlign w:val="center"/>
          </w:tcPr>
          <w:p w14:paraId="70FA7B3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7CB87380">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2BCF88B2">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r>
      <w:tr w14:paraId="67BAF2FB">
        <w:tblPrEx>
          <w:tblCellMar>
            <w:top w:w="0" w:type="dxa"/>
            <w:left w:w="108" w:type="dxa"/>
            <w:bottom w:w="0" w:type="dxa"/>
            <w:right w:w="108" w:type="dxa"/>
          </w:tblCellMar>
        </w:tblPrEx>
        <w:trPr>
          <w:trHeight w:val="51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14:paraId="6B33A821">
            <w:pPr>
              <w:adjustRightInd/>
              <w:snapToGrid/>
              <w:spacing w:after="0"/>
              <w:jc w:val="center"/>
              <w:rPr>
                <w:rFonts w:hint="eastAsia" w:ascii="仿宋" w:hAnsi="仿宋" w:eastAsia="仿宋" w:cs="仿宋"/>
                <w:color w:val="auto"/>
                <w:sz w:val="24"/>
                <w:szCs w:val="24"/>
                <w:highlight w:val="none"/>
              </w:rPr>
            </w:pPr>
          </w:p>
        </w:tc>
        <w:tc>
          <w:tcPr>
            <w:tcW w:w="1184" w:type="dxa"/>
            <w:vMerge w:val="restart"/>
            <w:tcBorders>
              <w:top w:val="single" w:color="auto" w:sz="0" w:space="0"/>
              <w:left w:val="single" w:color="auto" w:sz="0" w:space="0"/>
              <w:bottom w:val="single" w:color="auto" w:sz="0" w:space="0"/>
              <w:right w:val="single" w:color="auto" w:sz="4" w:space="0"/>
            </w:tcBorders>
            <w:shd w:val="clear" w:color="auto" w:fill="auto"/>
            <w:vAlign w:val="center"/>
          </w:tcPr>
          <w:p w14:paraId="7CD7398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尿毒症</w:t>
            </w:r>
          </w:p>
        </w:tc>
        <w:tc>
          <w:tcPr>
            <w:tcW w:w="2870" w:type="dxa"/>
            <w:tcBorders>
              <w:top w:val="single" w:color="auto" w:sz="0" w:space="0"/>
              <w:left w:val="single" w:color="auto" w:sz="4" w:space="0"/>
              <w:bottom w:val="single" w:color="000000" w:sz="4" w:space="0"/>
              <w:right w:val="single" w:color="auto" w:sz="4" w:space="0"/>
            </w:tcBorders>
            <w:shd w:val="clear" w:color="auto" w:fill="auto"/>
            <w:vAlign w:val="center"/>
          </w:tcPr>
          <w:p w14:paraId="4B0FA1E0">
            <w:pPr>
              <w:adjustRightInd/>
              <w:snapToGri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血液透析组套（元/次）</w:t>
            </w:r>
          </w:p>
        </w:tc>
        <w:tc>
          <w:tcPr>
            <w:tcW w:w="1524" w:type="dxa"/>
            <w:tcBorders>
              <w:top w:val="nil"/>
              <w:left w:val="single" w:color="auto" w:sz="4" w:space="0"/>
              <w:bottom w:val="single" w:color="000000" w:sz="4" w:space="0"/>
              <w:right w:val="single" w:color="auto" w:sz="4" w:space="0"/>
            </w:tcBorders>
            <w:shd w:val="clear" w:color="auto" w:fill="auto"/>
            <w:vAlign w:val="center"/>
          </w:tcPr>
          <w:p w14:paraId="73662357">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3FD5FAED">
            <w:pPr>
              <w:adjustRightInd/>
              <w:snapToGrid/>
              <w:spacing w:after="0"/>
              <w:ind w:left="0" w:leftChars="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83" w:type="dxa"/>
            <w:tcBorders>
              <w:top w:val="nil"/>
              <w:left w:val="nil"/>
              <w:bottom w:val="single" w:color="000000" w:sz="4" w:space="0"/>
              <w:right w:val="single" w:color="auto" w:sz="4" w:space="0"/>
            </w:tcBorders>
            <w:shd w:val="clear" w:color="auto" w:fill="auto"/>
            <w:vAlign w:val="center"/>
          </w:tcPr>
          <w:p w14:paraId="6CC7B25E">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20F5C86E">
            <w:pPr>
              <w:adjustRightInd/>
              <w:snapToGrid/>
              <w:spacing w:after="0"/>
              <w:ind w:left="0" w:leftChars="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41" w:type="dxa"/>
            <w:tcBorders>
              <w:top w:val="nil"/>
              <w:left w:val="nil"/>
              <w:bottom w:val="single" w:color="000000" w:sz="4" w:space="0"/>
              <w:right w:val="single" w:color="auto" w:sz="4" w:space="0"/>
            </w:tcBorders>
            <w:shd w:val="clear" w:color="auto" w:fill="auto"/>
            <w:vAlign w:val="center"/>
          </w:tcPr>
          <w:p w14:paraId="5A061D30">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400元/次；</w:t>
            </w:r>
          </w:p>
          <w:p w14:paraId="31289BC9">
            <w:pPr>
              <w:adjustRightInd/>
              <w:snapToGrid/>
              <w:spacing w:after="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380元</w:t>
            </w:r>
            <w:r>
              <w:rPr>
                <w:rFonts w:hint="eastAsia" w:ascii="仿宋" w:hAnsi="仿宋" w:eastAsia="仿宋" w:cs="仿宋"/>
                <w:color w:val="auto"/>
                <w:sz w:val="24"/>
                <w:szCs w:val="24"/>
                <w:highlight w:val="none"/>
                <w:lang w:val="en-US" w:eastAsia="zh-CN"/>
              </w:rPr>
              <w:t>/次</w:t>
            </w:r>
          </w:p>
        </w:tc>
        <w:tc>
          <w:tcPr>
            <w:tcW w:w="1591" w:type="dxa"/>
            <w:tcBorders>
              <w:top w:val="nil"/>
              <w:left w:val="nil"/>
              <w:bottom w:val="single" w:color="000000" w:sz="4" w:space="0"/>
              <w:right w:val="single" w:color="auto" w:sz="4" w:space="0"/>
            </w:tcBorders>
            <w:shd w:val="clear" w:color="auto" w:fill="auto"/>
            <w:vAlign w:val="center"/>
          </w:tcPr>
          <w:p w14:paraId="3B87B82F">
            <w:pPr>
              <w:adjustRightInd/>
              <w:snapToGrid/>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440元/次；</w:t>
            </w:r>
          </w:p>
          <w:p w14:paraId="19F652E2">
            <w:pPr>
              <w:adjustRightInd/>
              <w:snapToGrid/>
              <w:spacing w:after="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支付40</w:t>
            </w:r>
            <w:r>
              <w:rPr>
                <w:rFonts w:hint="eastAsia" w:ascii="仿宋" w:hAnsi="仿宋" w:eastAsia="仿宋" w:cs="仿宋"/>
                <w:color w:val="auto"/>
                <w:sz w:val="24"/>
                <w:szCs w:val="24"/>
                <w:highlight w:val="none"/>
              </w:rPr>
              <w:t>0元</w:t>
            </w:r>
            <w:r>
              <w:rPr>
                <w:rFonts w:hint="eastAsia" w:ascii="仿宋" w:hAnsi="仿宋" w:eastAsia="仿宋" w:cs="仿宋"/>
                <w:color w:val="auto"/>
                <w:sz w:val="24"/>
                <w:szCs w:val="24"/>
                <w:highlight w:val="none"/>
                <w:lang w:val="en-US" w:eastAsia="zh-CN"/>
              </w:rPr>
              <w:t>/次</w:t>
            </w:r>
          </w:p>
        </w:tc>
      </w:tr>
      <w:tr w14:paraId="3380B812">
        <w:tblPrEx>
          <w:tblCellMar>
            <w:top w:w="0" w:type="dxa"/>
            <w:left w:w="108" w:type="dxa"/>
            <w:bottom w:w="0" w:type="dxa"/>
            <w:right w:w="108" w:type="dxa"/>
          </w:tblCellMar>
        </w:tblPrEx>
        <w:trPr>
          <w:trHeight w:val="52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14:paraId="4DAA5016">
            <w:pPr>
              <w:adjustRightInd/>
              <w:snapToGrid/>
              <w:spacing w:after="0"/>
              <w:ind w:left="0" w:leftChars="0" w:firstLine="0" w:firstLineChars="0"/>
              <w:jc w:val="center"/>
              <w:rPr>
                <w:rFonts w:hint="eastAsia" w:ascii="仿宋" w:hAnsi="仿宋" w:eastAsia="仿宋" w:cs="仿宋"/>
                <w:color w:val="auto"/>
                <w:sz w:val="24"/>
                <w:szCs w:val="24"/>
                <w:highlight w:val="none"/>
              </w:rPr>
            </w:pPr>
          </w:p>
        </w:tc>
        <w:tc>
          <w:tcPr>
            <w:tcW w:w="1184" w:type="dxa"/>
            <w:vMerge w:val="continue"/>
            <w:tcBorders>
              <w:top w:val="single" w:color="auto" w:sz="0" w:space="0"/>
              <w:left w:val="single" w:color="auto" w:sz="0" w:space="0"/>
              <w:bottom w:val="single" w:color="auto" w:sz="0" w:space="0"/>
              <w:right w:val="single" w:color="000000" w:sz="4" w:space="0"/>
            </w:tcBorders>
            <w:shd w:val="clear" w:color="auto" w:fill="auto"/>
            <w:vAlign w:val="center"/>
          </w:tcPr>
          <w:p w14:paraId="4D5B211D">
            <w:pPr>
              <w:adjustRightInd/>
              <w:snapToGrid/>
              <w:spacing w:after="0"/>
              <w:ind w:left="0" w:leftChars="0" w:firstLine="0" w:firstLineChars="0"/>
              <w:jc w:val="center"/>
              <w:rPr>
                <w:rFonts w:hint="eastAsia" w:ascii="仿宋" w:hAnsi="仿宋" w:eastAsia="仿宋" w:cs="仿宋"/>
                <w:color w:val="auto"/>
                <w:sz w:val="24"/>
                <w:szCs w:val="24"/>
                <w:highlight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9B1">
            <w:pPr>
              <w:adjustRightInd/>
              <w:snapToGrid/>
              <w:spacing w:after="0"/>
              <w:ind w:left="0" w:leftChars="0" w:firstLine="0" w:firstLineChars="0"/>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lang w:eastAsia="zh-CN"/>
              </w:rPr>
              <w:t>血液灌流（包括血液透析和灌流器费用）</w:t>
            </w:r>
            <w:r>
              <w:rPr>
                <w:rFonts w:hint="eastAsia" w:ascii="仿宋" w:hAnsi="仿宋" w:eastAsia="仿宋" w:cs="仿宋"/>
                <w:color w:val="000000"/>
                <w:sz w:val="24"/>
                <w:szCs w:val="24"/>
                <w:highlight w:val="none"/>
              </w:rPr>
              <w:t>（元/次）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3CA2">
            <w:pPr>
              <w:adjustRightInd/>
              <w:snapToGrid/>
              <w:spacing w:after="0"/>
              <w:ind w:left="0" w:leftChars="0" w:firstLine="0" w:firstLineChars="0"/>
              <w:jc w:val="center"/>
              <w:rPr>
                <w:rFonts w:hint="eastAsia"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DFC">
            <w:pPr>
              <w:adjustRightInd/>
              <w:snapToGrid/>
              <w:spacing w:after="0"/>
              <w:jc w:val="left"/>
              <w:rPr>
                <w:rFonts w:hint="eastAsia"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DD8">
            <w:pPr>
              <w:adjustRightInd/>
              <w:snapToGrid/>
              <w:spacing w:after="0"/>
              <w:jc w:val="left"/>
              <w:rPr>
                <w:rFonts w:hint="eastAsia"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rPr>
              <w:t>1000元/次；支付890元/次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182">
            <w:pPr>
              <w:adjustRightInd/>
              <w:snapToGrid/>
              <w:spacing w:after="0"/>
              <w:jc w:val="left"/>
              <w:rPr>
                <w:rFonts w:hint="eastAsia"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rPr>
              <w:t>1040元/次；支付910元/次</w:t>
            </w:r>
          </w:p>
        </w:tc>
      </w:tr>
      <w:tr w14:paraId="63D72491">
        <w:tblPrEx>
          <w:tblCellMar>
            <w:top w:w="0" w:type="dxa"/>
            <w:left w:w="108" w:type="dxa"/>
            <w:bottom w:w="0" w:type="dxa"/>
            <w:right w:w="108" w:type="dxa"/>
          </w:tblCellMar>
        </w:tblPrEx>
        <w:trPr>
          <w:trHeight w:val="352"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14:paraId="3E712174">
            <w:pPr>
              <w:adjustRightInd/>
              <w:snapToGrid/>
              <w:spacing w:after="0"/>
              <w:jc w:val="center"/>
              <w:rPr>
                <w:rFonts w:hint="eastAsia" w:ascii="仿宋" w:hAnsi="仿宋" w:eastAsia="仿宋" w:cs="仿宋"/>
                <w:color w:val="auto"/>
                <w:sz w:val="24"/>
                <w:szCs w:val="24"/>
                <w:highlight w:val="none"/>
              </w:rPr>
            </w:pPr>
          </w:p>
        </w:tc>
        <w:tc>
          <w:tcPr>
            <w:tcW w:w="1184" w:type="dxa"/>
            <w:vMerge w:val="continue"/>
            <w:tcBorders>
              <w:top w:val="single" w:color="auto" w:sz="0" w:space="0"/>
              <w:left w:val="single" w:color="auto" w:sz="0" w:space="0"/>
              <w:bottom w:val="single" w:color="auto" w:sz="4" w:space="0"/>
              <w:right w:val="single" w:color="000000" w:sz="4" w:space="0"/>
            </w:tcBorders>
            <w:shd w:val="clear" w:color="auto" w:fill="auto"/>
            <w:vAlign w:val="center"/>
          </w:tcPr>
          <w:p w14:paraId="7036C9DC">
            <w:pPr>
              <w:adjustRightInd/>
              <w:snapToGrid/>
              <w:spacing w:after="0"/>
              <w:jc w:val="center"/>
              <w:rPr>
                <w:rFonts w:hint="eastAsia" w:ascii="仿宋" w:hAnsi="仿宋" w:eastAsia="仿宋" w:cs="仿宋"/>
                <w:color w:val="auto"/>
                <w:sz w:val="24"/>
                <w:szCs w:val="24"/>
                <w:highlight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CDA">
            <w:pPr>
              <w:adjustRightInd/>
              <w:snapToGri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透析门诊用药</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D6E">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909">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63A5">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A4F2">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r>
      <w:tr w14:paraId="39AE208E">
        <w:tblPrEx>
          <w:tblCellMar>
            <w:top w:w="0" w:type="dxa"/>
            <w:left w:w="108" w:type="dxa"/>
            <w:bottom w:w="0" w:type="dxa"/>
            <w:right w:w="108" w:type="dxa"/>
          </w:tblCellMar>
        </w:tblPrEx>
        <w:trPr>
          <w:trHeight w:val="359" w:hRule="atLeast"/>
          <w:jc w:val="center"/>
        </w:trPr>
        <w:tc>
          <w:tcPr>
            <w:tcW w:w="1106" w:type="dxa"/>
            <w:vMerge w:val="continue"/>
            <w:tcBorders>
              <w:top w:val="single" w:color="auto" w:sz="4" w:space="0"/>
              <w:left w:val="single" w:color="auto" w:sz="4" w:space="0"/>
              <w:bottom w:val="single" w:color="auto" w:sz="4" w:space="0"/>
              <w:right w:val="single" w:color="auto" w:sz="0" w:space="0"/>
            </w:tcBorders>
            <w:shd w:val="clear" w:color="auto" w:fill="auto"/>
            <w:vAlign w:val="center"/>
          </w:tcPr>
          <w:p w14:paraId="2C5C0641">
            <w:pPr>
              <w:adjustRightInd/>
              <w:snapToGrid/>
              <w:spacing w:after="0"/>
              <w:jc w:val="center"/>
              <w:rPr>
                <w:rFonts w:hint="eastAsia" w:ascii="仿宋" w:hAnsi="仿宋" w:eastAsia="仿宋" w:cs="仿宋"/>
                <w:color w:val="auto"/>
                <w:sz w:val="24"/>
                <w:szCs w:val="24"/>
                <w:highlight w:val="none"/>
              </w:rPr>
            </w:pPr>
          </w:p>
        </w:tc>
        <w:tc>
          <w:tcPr>
            <w:tcW w:w="1184" w:type="dxa"/>
            <w:vMerge w:val="continue"/>
            <w:tcBorders>
              <w:top w:val="single" w:color="auto" w:sz="4" w:space="0"/>
              <w:left w:val="single" w:color="auto" w:sz="0" w:space="0"/>
              <w:bottom w:val="single" w:color="auto" w:sz="4" w:space="0"/>
              <w:right w:val="single" w:color="auto" w:sz="4" w:space="0"/>
            </w:tcBorders>
            <w:shd w:val="clear" w:color="auto" w:fill="auto"/>
            <w:vAlign w:val="center"/>
          </w:tcPr>
          <w:p w14:paraId="48EC5460">
            <w:pPr>
              <w:adjustRightInd/>
              <w:snapToGrid/>
              <w:spacing w:after="0"/>
              <w:jc w:val="center"/>
              <w:rPr>
                <w:rFonts w:hint="eastAsia" w:ascii="仿宋" w:hAnsi="仿宋" w:eastAsia="仿宋" w:cs="仿宋"/>
                <w:color w:val="auto"/>
                <w:sz w:val="24"/>
                <w:szCs w:val="24"/>
                <w:highlight w:val="none"/>
              </w:rPr>
            </w:pPr>
          </w:p>
        </w:tc>
        <w:tc>
          <w:tcPr>
            <w:tcW w:w="2870" w:type="dxa"/>
            <w:tcBorders>
              <w:top w:val="single" w:color="000000" w:sz="4" w:space="0"/>
              <w:left w:val="single" w:color="auto" w:sz="4" w:space="0"/>
              <w:bottom w:val="single" w:color="auto" w:sz="4" w:space="0"/>
              <w:right w:val="single" w:color="auto" w:sz="4" w:space="0"/>
            </w:tcBorders>
            <w:shd w:val="clear" w:color="auto" w:fill="auto"/>
            <w:vAlign w:val="center"/>
          </w:tcPr>
          <w:p w14:paraId="683E93B5">
            <w:pPr>
              <w:adjustRightInd/>
              <w:snapToGri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腹膜透析组套（元/日）</w:t>
            </w:r>
          </w:p>
        </w:tc>
        <w:tc>
          <w:tcPr>
            <w:tcW w:w="6239" w:type="dxa"/>
            <w:gridSpan w:val="4"/>
            <w:tcBorders>
              <w:top w:val="single" w:color="000000" w:sz="4" w:space="0"/>
              <w:left w:val="nil"/>
              <w:bottom w:val="single" w:color="auto" w:sz="4" w:space="0"/>
              <w:right w:val="single" w:color="auto" w:sz="4" w:space="0"/>
            </w:tcBorders>
            <w:shd w:val="clear" w:color="auto" w:fill="auto"/>
            <w:vAlign w:val="center"/>
          </w:tcPr>
          <w:p w14:paraId="195BE66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每人每日160元，</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90%</w:t>
            </w:r>
          </w:p>
        </w:tc>
      </w:tr>
      <w:tr w14:paraId="2CFAF5B5">
        <w:tblPrEx>
          <w:tblCellMar>
            <w:top w:w="0" w:type="dxa"/>
            <w:left w:w="108" w:type="dxa"/>
            <w:bottom w:w="0" w:type="dxa"/>
            <w:right w:w="108" w:type="dxa"/>
          </w:tblCellMar>
        </w:tblPrEx>
        <w:trPr>
          <w:trHeight w:val="74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F8BE4">
            <w:pPr>
              <w:adjustRightInd/>
              <w:snapToGrid/>
              <w:spacing w:after="0"/>
              <w:jc w:val="center"/>
              <w:rPr>
                <w:rFonts w:hint="eastAsia" w:ascii="仿宋" w:hAnsi="仿宋" w:eastAsia="仿宋" w:cs="仿宋"/>
                <w:color w:val="auto"/>
                <w:sz w:val="24"/>
                <w:szCs w:val="24"/>
                <w:highlight w:val="none"/>
              </w:rPr>
            </w:pPr>
          </w:p>
        </w:tc>
        <w:tc>
          <w:tcPr>
            <w:tcW w:w="4054" w:type="dxa"/>
            <w:gridSpan w:val="2"/>
            <w:tcBorders>
              <w:top w:val="single" w:color="auto" w:sz="4" w:space="0"/>
              <w:left w:val="nil"/>
              <w:bottom w:val="single" w:color="auto" w:sz="4" w:space="0"/>
              <w:right w:val="single" w:color="auto" w:sz="4" w:space="0"/>
            </w:tcBorders>
            <w:shd w:val="clear" w:color="auto" w:fill="auto"/>
            <w:vAlign w:val="center"/>
          </w:tcPr>
          <w:p w14:paraId="4540E16E">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血友病、再生障碍性贫血、系统性红斑狼疮</w:t>
            </w:r>
          </w:p>
        </w:tc>
        <w:tc>
          <w:tcPr>
            <w:tcW w:w="1524" w:type="dxa"/>
            <w:tcBorders>
              <w:top w:val="nil"/>
              <w:left w:val="nil"/>
              <w:bottom w:val="single" w:color="auto" w:sz="4" w:space="0"/>
              <w:right w:val="single" w:color="auto" w:sz="4" w:space="0"/>
            </w:tcBorders>
            <w:shd w:val="clear" w:color="auto" w:fill="auto"/>
            <w:vAlign w:val="center"/>
          </w:tcPr>
          <w:p w14:paraId="6BE9510C">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83" w:type="dxa"/>
            <w:tcBorders>
              <w:top w:val="nil"/>
              <w:left w:val="nil"/>
              <w:bottom w:val="single" w:color="auto" w:sz="4" w:space="0"/>
              <w:right w:val="single" w:color="auto" w:sz="4" w:space="0"/>
            </w:tcBorders>
            <w:shd w:val="clear" w:color="auto" w:fill="auto"/>
            <w:vAlign w:val="center"/>
          </w:tcPr>
          <w:p w14:paraId="35DE9094">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536984F2">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644EA3D3">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r>
      <w:tr w14:paraId="4482EBEF">
        <w:tblPrEx>
          <w:tblCellMar>
            <w:top w:w="0" w:type="dxa"/>
            <w:left w:w="108" w:type="dxa"/>
            <w:bottom w:w="0" w:type="dxa"/>
            <w:right w:w="108" w:type="dxa"/>
          </w:tblCellMar>
        </w:tblPrEx>
        <w:trPr>
          <w:trHeight w:val="53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C2C53">
            <w:pPr>
              <w:adjustRightInd/>
              <w:snapToGrid/>
              <w:spacing w:after="0"/>
              <w:jc w:val="center"/>
              <w:rPr>
                <w:rFonts w:hint="eastAsia" w:ascii="仿宋" w:hAnsi="仿宋" w:eastAsia="仿宋" w:cs="仿宋"/>
                <w:color w:val="auto"/>
                <w:sz w:val="24"/>
                <w:szCs w:val="24"/>
                <w:highlight w:val="none"/>
              </w:rPr>
            </w:pPr>
          </w:p>
        </w:tc>
        <w:tc>
          <w:tcPr>
            <w:tcW w:w="1184" w:type="dxa"/>
            <w:vMerge w:val="restart"/>
            <w:tcBorders>
              <w:top w:val="single" w:color="auto" w:sz="4" w:space="0"/>
              <w:left w:val="single" w:color="auto" w:sz="4" w:space="0"/>
              <w:right w:val="single" w:color="auto" w:sz="4" w:space="0"/>
            </w:tcBorders>
            <w:shd w:val="clear" w:color="auto" w:fill="auto"/>
            <w:vAlign w:val="center"/>
          </w:tcPr>
          <w:p w14:paraId="728C5372">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器官移植术后（肝、肾、肺、心脏移植）</w:t>
            </w:r>
          </w:p>
        </w:tc>
        <w:tc>
          <w:tcPr>
            <w:tcW w:w="2870" w:type="dxa"/>
            <w:vMerge w:val="restart"/>
            <w:tcBorders>
              <w:top w:val="single" w:color="auto" w:sz="4" w:space="0"/>
              <w:left w:val="single" w:color="auto" w:sz="4" w:space="0"/>
              <w:right w:val="single" w:color="auto" w:sz="4" w:space="0"/>
            </w:tcBorders>
            <w:shd w:val="clear" w:color="auto" w:fill="auto"/>
            <w:vAlign w:val="center"/>
          </w:tcPr>
          <w:p w14:paraId="47B8F74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抗排异治疗（以及与病情相关的治疗药品和检查检验费用）</w:t>
            </w: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5EBEF1">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w:t>
            </w:r>
          </w:p>
        </w:tc>
      </w:tr>
      <w:tr w14:paraId="2823CC05">
        <w:tblPrEx>
          <w:tblCellMar>
            <w:top w:w="0" w:type="dxa"/>
            <w:left w:w="108" w:type="dxa"/>
            <w:bottom w:w="0" w:type="dxa"/>
            <w:right w:w="108" w:type="dxa"/>
          </w:tblCellMar>
        </w:tblPrEx>
        <w:trPr>
          <w:trHeight w:val="1065"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9906E">
            <w:pPr>
              <w:adjustRightInd/>
              <w:snapToGrid/>
              <w:spacing w:after="0"/>
              <w:jc w:val="center"/>
              <w:rPr>
                <w:rFonts w:hint="eastAsia" w:ascii="仿宋" w:hAnsi="仿宋" w:eastAsia="仿宋" w:cs="仿宋"/>
                <w:color w:val="auto"/>
                <w:sz w:val="24"/>
                <w:szCs w:val="24"/>
                <w:highlight w:val="none"/>
              </w:rPr>
            </w:pPr>
          </w:p>
        </w:tc>
        <w:tc>
          <w:tcPr>
            <w:tcW w:w="1184" w:type="dxa"/>
            <w:vMerge w:val="continue"/>
            <w:tcBorders>
              <w:left w:val="single" w:color="auto" w:sz="4" w:space="0"/>
              <w:bottom w:val="single" w:color="auto" w:sz="4" w:space="0"/>
              <w:right w:val="single" w:color="auto" w:sz="4" w:space="0"/>
            </w:tcBorders>
            <w:shd w:val="clear" w:color="auto" w:fill="auto"/>
            <w:vAlign w:val="center"/>
          </w:tcPr>
          <w:p w14:paraId="2BC6F67A">
            <w:pPr>
              <w:adjustRightInd/>
              <w:snapToGrid/>
              <w:spacing w:after="0"/>
              <w:jc w:val="center"/>
              <w:rPr>
                <w:rFonts w:hint="eastAsia" w:ascii="仿宋" w:hAnsi="仿宋" w:eastAsia="仿宋" w:cs="仿宋"/>
                <w:color w:val="auto"/>
                <w:sz w:val="24"/>
                <w:szCs w:val="24"/>
                <w:highlight w:val="none"/>
              </w:rPr>
            </w:pPr>
          </w:p>
        </w:tc>
        <w:tc>
          <w:tcPr>
            <w:tcW w:w="2870" w:type="dxa"/>
            <w:vMerge w:val="continue"/>
            <w:tcBorders>
              <w:left w:val="single" w:color="auto" w:sz="4" w:space="0"/>
              <w:bottom w:val="single" w:color="auto" w:sz="4" w:space="0"/>
              <w:right w:val="single" w:color="auto" w:sz="4" w:space="0"/>
            </w:tcBorders>
            <w:shd w:val="clear" w:color="auto" w:fill="auto"/>
            <w:vAlign w:val="center"/>
          </w:tcPr>
          <w:p w14:paraId="5E6B34B3">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single" w:color="auto" w:sz="4" w:space="0"/>
              <w:left w:val="nil"/>
              <w:bottom w:val="single" w:color="auto" w:sz="4" w:space="0"/>
              <w:right w:val="single" w:color="auto" w:sz="4" w:space="0"/>
            </w:tcBorders>
            <w:shd w:val="clear" w:color="auto" w:fill="auto"/>
            <w:vAlign w:val="center"/>
          </w:tcPr>
          <w:p w14:paraId="334B81C8">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年度最高支付限额：术后2年以内（含2年）6.3万元</w:t>
            </w:r>
            <w:r>
              <w:rPr>
                <w:rFonts w:hint="eastAsia" w:ascii="仿宋" w:hAnsi="仿宋" w:eastAsia="仿宋" w:cs="仿宋"/>
                <w:color w:val="auto"/>
                <w:sz w:val="24"/>
                <w:szCs w:val="24"/>
                <w:highlight w:val="none"/>
                <w:lang w:eastAsia="zh-CN"/>
              </w:rPr>
              <w:t>，统筹金每人每季度最多支付不超过</w:t>
            </w:r>
            <w:r>
              <w:rPr>
                <w:rFonts w:hint="eastAsia" w:ascii="仿宋" w:hAnsi="仿宋" w:eastAsia="仿宋" w:cs="仿宋"/>
                <w:color w:val="auto"/>
                <w:sz w:val="24"/>
                <w:szCs w:val="24"/>
                <w:highlight w:val="none"/>
                <w:lang w:val="en-US" w:eastAsia="zh-CN"/>
              </w:rPr>
              <w:t>15750元</w:t>
            </w:r>
            <w:r>
              <w:rPr>
                <w:rFonts w:hint="eastAsia" w:ascii="仿宋" w:hAnsi="仿宋" w:eastAsia="仿宋" w:cs="仿宋"/>
                <w:color w:val="auto"/>
                <w:sz w:val="24"/>
                <w:szCs w:val="24"/>
                <w:highlight w:val="none"/>
              </w:rPr>
              <w:t>；术后2年以上4.9万元</w:t>
            </w:r>
            <w:r>
              <w:rPr>
                <w:rFonts w:hint="eastAsia" w:ascii="仿宋" w:hAnsi="仿宋" w:eastAsia="仿宋" w:cs="仿宋"/>
                <w:color w:val="auto"/>
                <w:sz w:val="24"/>
                <w:szCs w:val="24"/>
                <w:highlight w:val="none"/>
                <w:lang w:eastAsia="zh-CN"/>
              </w:rPr>
              <w:t>，统筹金每人每季度最多支付不超过</w:t>
            </w:r>
            <w:r>
              <w:rPr>
                <w:rFonts w:hint="eastAsia" w:ascii="仿宋" w:hAnsi="仿宋" w:eastAsia="仿宋" w:cs="仿宋"/>
                <w:color w:val="auto"/>
                <w:sz w:val="24"/>
                <w:szCs w:val="24"/>
                <w:highlight w:val="none"/>
                <w:lang w:val="en-US" w:eastAsia="zh-CN"/>
              </w:rPr>
              <w:t xml:space="preserve">12250元。  </w:t>
            </w:r>
          </w:p>
        </w:tc>
      </w:tr>
      <w:tr w14:paraId="06819B98">
        <w:tblPrEx>
          <w:tblCellMar>
            <w:top w:w="0" w:type="dxa"/>
            <w:left w:w="108" w:type="dxa"/>
            <w:bottom w:w="0" w:type="dxa"/>
            <w:right w:w="108" w:type="dxa"/>
          </w:tblCellMar>
        </w:tblPrEx>
        <w:trPr>
          <w:trHeight w:val="36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00CD4">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restart"/>
            <w:tcBorders>
              <w:top w:val="nil"/>
              <w:left w:val="nil"/>
              <w:right w:val="single" w:color="auto" w:sz="4" w:space="0"/>
            </w:tcBorders>
            <w:shd w:val="clear" w:color="auto" w:fill="auto"/>
            <w:vAlign w:val="center"/>
          </w:tcPr>
          <w:p w14:paraId="68B7344D">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糖尿病胰岛素治疗</w:t>
            </w:r>
          </w:p>
        </w:tc>
        <w:tc>
          <w:tcPr>
            <w:tcW w:w="1524" w:type="dxa"/>
            <w:tcBorders>
              <w:top w:val="nil"/>
              <w:left w:val="nil"/>
              <w:bottom w:val="single" w:color="auto" w:sz="4" w:space="0"/>
              <w:right w:val="single" w:color="auto" w:sz="4" w:space="0"/>
            </w:tcBorders>
            <w:shd w:val="clear" w:color="auto" w:fill="auto"/>
            <w:vAlign w:val="center"/>
          </w:tcPr>
          <w:p w14:paraId="4E746251">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83" w:type="dxa"/>
            <w:tcBorders>
              <w:top w:val="nil"/>
              <w:left w:val="nil"/>
              <w:bottom w:val="single" w:color="auto" w:sz="4" w:space="0"/>
              <w:right w:val="single" w:color="auto" w:sz="4" w:space="0"/>
            </w:tcBorders>
            <w:shd w:val="clear" w:color="auto" w:fill="auto"/>
            <w:vAlign w:val="center"/>
          </w:tcPr>
          <w:p w14:paraId="1AA12DC7">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5023C400">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c>
          <w:tcPr>
            <w:tcW w:w="1591" w:type="dxa"/>
            <w:tcBorders>
              <w:top w:val="nil"/>
              <w:left w:val="nil"/>
              <w:bottom w:val="single" w:color="auto" w:sz="4" w:space="0"/>
              <w:right w:val="single" w:color="auto" w:sz="4" w:space="0"/>
            </w:tcBorders>
            <w:shd w:val="clear" w:color="auto" w:fill="auto"/>
            <w:vAlign w:val="center"/>
          </w:tcPr>
          <w:p w14:paraId="0939625C">
            <w:pPr>
              <w:adjustRightInd/>
              <w:snapToGrid/>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p>
        </w:tc>
      </w:tr>
      <w:tr w14:paraId="2AA9B47C">
        <w:tblPrEx>
          <w:tblCellMar>
            <w:top w:w="0" w:type="dxa"/>
            <w:left w:w="108" w:type="dxa"/>
            <w:bottom w:w="0" w:type="dxa"/>
            <w:right w:w="108" w:type="dxa"/>
          </w:tblCellMar>
        </w:tblPrEx>
        <w:trPr>
          <w:trHeight w:val="39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A248F">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right w:val="single" w:color="auto" w:sz="4" w:space="0"/>
            </w:tcBorders>
            <w:shd w:val="clear" w:color="auto" w:fill="auto"/>
            <w:vAlign w:val="center"/>
          </w:tcPr>
          <w:p w14:paraId="64CDFC2D">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nil"/>
              <w:left w:val="nil"/>
              <w:bottom w:val="single" w:color="auto" w:sz="4" w:space="0"/>
              <w:right w:val="single" w:color="auto" w:sz="4" w:space="0"/>
            </w:tcBorders>
            <w:shd w:val="clear" w:color="auto" w:fill="auto"/>
            <w:vAlign w:val="center"/>
          </w:tcPr>
          <w:p w14:paraId="6709E317">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在定点零售药店发生的费用，</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80%</w:t>
            </w:r>
          </w:p>
        </w:tc>
      </w:tr>
      <w:tr w14:paraId="76B4FB85">
        <w:tblPrEx>
          <w:tblCellMar>
            <w:top w:w="0" w:type="dxa"/>
            <w:left w:w="108" w:type="dxa"/>
            <w:bottom w:w="0" w:type="dxa"/>
            <w:right w:w="108" w:type="dxa"/>
          </w:tblCellMar>
        </w:tblPrEx>
        <w:trPr>
          <w:trHeight w:val="396"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A1E6E">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bottom w:val="single" w:color="auto" w:sz="4" w:space="0"/>
              <w:right w:val="single" w:color="auto" w:sz="4" w:space="0"/>
            </w:tcBorders>
            <w:shd w:val="clear" w:color="auto" w:fill="auto"/>
            <w:vAlign w:val="center"/>
          </w:tcPr>
          <w:p w14:paraId="5C98A857">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nil"/>
              <w:left w:val="nil"/>
              <w:bottom w:val="single" w:color="auto" w:sz="4" w:space="0"/>
              <w:right w:val="single" w:color="auto" w:sz="4" w:space="0"/>
            </w:tcBorders>
            <w:shd w:val="clear" w:color="auto" w:fill="auto"/>
            <w:vAlign w:val="center"/>
          </w:tcPr>
          <w:p w14:paraId="340C964A">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统筹金年度最多支付不超过2400元</w:t>
            </w:r>
          </w:p>
        </w:tc>
      </w:tr>
      <w:tr w14:paraId="26066348">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33A86">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restart"/>
            <w:tcBorders>
              <w:top w:val="nil"/>
              <w:left w:val="nil"/>
              <w:right w:val="single" w:color="auto" w:sz="4" w:space="0"/>
            </w:tcBorders>
            <w:shd w:val="clear" w:color="auto" w:fill="auto"/>
            <w:vAlign w:val="center"/>
          </w:tcPr>
          <w:p w14:paraId="77BF971B">
            <w:pPr>
              <w:adjustRightInd/>
              <w:snapToGrid/>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特殊药品（靶向用药）</w:t>
            </w:r>
          </w:p>
        </w:tc>
        <w:tc>
          <w:tcPr>
            <w:tcW w:w="3107" w:type="dxa"/>
            <w:gridSpan w:val="2"/>
            <w:tcBorders>
              <w:top w:val="nil"/>
              <w:left w:val="nil"/>
              <w:bottom w:val="single" w:color="auto" w:sz="4" w:space="0"/>
              <w:right w:val="single" w:color="auto" w:sz="4" w:space="0"/>
            </w:tcBorders>
            <w:shd w:val="clear" w:color="auto" w:fill="auto"/>
            <w:vAlign w:val="center"/>
          </w:tcPr>
          <w:p w14:paraId="5D0AA85E">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90%</w:t>
            </w:r>
          </w:p>
        </w:tc>
        <w:tc>
          <w:tcPr>
            <w:tcW w:w="1541" w:type="dxa"/>
            <w:tcBorders>
              <w:top w:val="nil"/>
              <w:left w:val="nil"/>
              <w:bottom w:val="single" w:color="auto" w:sz="4" w:space="0"/>
              <w:right w:val="single" w:color="auto" w:sz="4" w:space="0"/>
            </w:tcBorders>
            <w:shd w:val="clear" w:color="auto" w:fill="auto"/>
            <w:vAlign w:val="center"/>
          </w:tcPr>
          <w:p w14:paraId="0C55FBD5">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c>
          <w:tcPr>
            <w:tcW w:w="1591" w:type="dxa"/>
            <w:tcBorders>
              <w:top w:val="nil"/>
              <w:left w:val="nil"/>
              <w:bottom w:val="single" w:color="auto" w:sz="4" w:space="0"/>
              <w:right w:val="single" w:color="auto" w:sz="4" w:space="0"/>
            </w:tcBorders>
            <w:shd w:val="clear" w:color="auto" w:fill="auto"/>
            <w:vAlign w:val="center"/>
          </w:tcPr>
          <w:p w14:paraId="6C39B96C">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r>
      <w:tr w14:paraId="653AA96F">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7AB91">
            <w:pPr>
              <w:adjustRightInd/>
              <w:snapToGrid/>
              <w:spacing w:after="0"/>
              <w:jc w:val="center"/>
              <w:rPr>
                <w:rFonts w:hint="eastAsia" w:ascii="仿宋" w:hAnsi="仿宋" w:eastAsia="仿宋" w:cs="仿宋"/>
                <w:color w:val="auto"/>
                <w:sz w:val="24"/>
                <w:szCs w:val="24"/>
                <w:highlight w:val="none"/>
              </w:rPr>
            </w:pPr>
          </w:p>
        </w:tc>
        <w:tc>
          <w:tcPr>
            <w:tcW w:w="4054" w:type="dxa"/>
            <w:gridSpan w:val="2"/>
            <w:vMerge w:val="continue"/>
            <w:tcBorders>
              <w:left w:val="nil"/>
              <w:bottom w:val="single" w:color="auto" w:sz="4" w:space="0"/>
              <w:right w:val="single" w:color="auto" w:sz="4" w:space="0"/>
            </w:tcBorders>
            <w:shd w:val="clear" w:color="auto" w:fill="auto"/>
            <w:vAlign w:val="center"/>
          </w:tcPr>
          <w:p w14:paraId="655DBF34">
            <w:pPr>
              <w:adjustRightInd/>
              <w:snapToGrid/>
              <w:spacing w:after="0"/>
              <w:jc w:val="center"/>
              <w:rPr>
                <w:rFonts w:hint="eastAsia" w:ascii="仿宋" w:hAnsi="仿宋" w:eastAsia="仿宋" w:cs="仿宋"/>
                <w:color w:val="auto"/>
                <w:sz w:val="24"/>
                <w:szCs w:val="24"/>
                <w:highlight w:val="none"/>
              </w:rPr>
            </w:pPr>
          </w:p>
        </w:tc>
        <w:tc>
          <w:tcPr>
            <w:tcW w:w="6239" w:type="dxa"/>
            <w:gridSpan w:val="4"/>
            <w:tcBorders>
              <w:top w:val="nil"/>
              <w:left w:val="nil"/>
              <w:bottom w:val="single" w:color="auto" w:sz="4" w:space="0"/>
              <w:right w:val="single" w:color="auto" w:sz="4" w:space="0"/>
            </w:tcBorders>
            <w:shd w:val="clear" w:color="auto" w:fill="auto"/>
            <w:vAlign w:val="center"/>
          </w:tcPr>
          <w:p w14:paraId="5816BDE8">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在定点零售药店发生的费用，</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80%</w:t>
            </w:r>
          </w:p>
        </w:tc>
      </w:tr>
      <w:tr w14:paraId="766495AD">
        <w:tblPrEx>
          <w:tblCellMar>
            <w:top w:w="0" w:type="dxa"/>
            <w:left w:w="108" w:type="dxa"/>
            <w:bottom w:w="0" w:type="dxa"/>
            <w:right w:w="108" w:type="dxa"/>
          </w:tblCellMar>
        </w:tblPrEx>
        <w:trPr>
          <w:trHeight w:val="453"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86A3F">
            <w:pPr>
              <w:adjustRightInd/>
              <w:snapToGrid/>
              <w:spacing w:after="0"/>
              <w:jc w:val="center"/>
              <w:rPr>
                <w:rFonts w:hint="eastAsia" w:ascii="仿宋" w:hAnsi="仿宋" w:eastAsia="仿宋" w:cs="仿宋"/>
                <w:color w:val="auto"/>
                <w:sz w:val="24"/>
                <w:szCs w:val="24"/>
                <w:highlight w:val="none"/>
              </w:rPr>
            </w:pPr>
          </w:p>
        </w:tc>
        <w:tc>
          <w:tcPr>
            <w:tcW w:w="4054" w:type="dxa"/>
            <w:gridSpan w:val="2"/>
            <w:tcBorders>
              <w:top w:val="nil"/>
              <w:left w:val="nil"/>
              <w:bottom w:val="single" w:color="auto" w:sz="4" w:space="0"/>
              <w:right w:val="single" w:color="auto" w:sz="4" w:space="0"/>
            </w:tcBorders>
            <w:shd w:val="clear" w:color="auto" w:fill="auto"/>
            <w:vAlign w:val="center"/>
          </w:tcPr>
          <w:p w14:paraId="66A85E54">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肺结核、重性精神病药物维持治疗</w:t>
            </w:r>
          </w:p>
        </w:tc>
        <w:tc>
          <w:tcPr>
            <w:tcW w:w="6239" w:type="dxa"/>
            <w:gridSpan w:val="4"/>
            <w:tcBorders>
              <w:top w:val="nil"/>
              <w:left w:val="nil"/>
              <w:bottom w:val="single" w:color="auto" w:sz="4" w:space="0"/>
              <w:right w:val="single" w:color="auto" w:sz="4" w:space="0"/>
            </w:tcBorders>
            <w:shd w:val="clear" w:color="auto" w:fill="auto"/>
            <w:vAlign w:val="center"/>
          </w:tcPr>
          <w:p w14:paraId="4D6E61A6">
            <w:pPr>
              <w:adjustRightInd/>
              <w:snapToGrid/>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r>
      <w:tr w14:paraId="6C80743A">
        <w:tblPrEx>
          <w:tblCellMar>
            <w:top w:w="0" w:type="dxa"/>
            <w:left w:w="108" w:type="dxa"/>
            <w:bottom w:w="0" w:type="dxa"/>
            <w:right w:w="108" w:type="dxa"/>
          </w:tblCellMar>
        </w:tblPrEx>
        <w:trPr>
          <w:trHeight w:val="2240"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7E0CD">
            <w:pPr>
              <w:adjustRightInd/>
              <w:snapToGrid/>
              <w:spacing w:after="0"/>
              <w:ind w:left="0" w:leftChars="0" w:firstLine="0" w:firstLineChars="0"/>
              <w:jc w:val="center"/>
              <w:rPr>
                <w:rFonts w:hint="eastAsia" w:ascii="仿宋" w:hAnsi="仿宋" w:eastAsia="仿宋" w:cs="仿宋"/>
                <w:color w:val="auto"/>
                <w:sz w:val="24"/>
                <w:szCs w:val="24"/>
                <w:highlight w:val="none"/>
              </w:rPr>
            </w:pPr>
          </w:p>
        </w:tc>
        <w:tc>
          <w:tcPr>
            <w:tcW w:w="4054" w:type="dxa"/>
            <w:gridSpan w:val="2"/>
            <w:tcBorders>
              <w:top w:val="nil"/>
              <w:left w:val="nil"/>
              <w:bottom w:val="single" w:color="auto" w:sz="4" w:space="0"/>
              <w:right w:val="single" w:color="auto" w:sz="4" w:space="0"/>
            </w:tcBorders>
            <w:shd w:val="clear" w:color="auto" w:fill="auto"/>
            <w:vAlign w:val="center"/>
          </w:tcPr>
          <w:p w14:paraId="0149F32A">
            <w:pPr>
              <w:adjustRightInd/>
              <w:snapToGrid/>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苯丙酮尿症</w:t>
            </w:r>
          </w:p>
          <w:p w14:paraId="4DFFFB03">
            <w:pPr>
              <w:adjustRightInd/>
              <w:snapToGrid/>
              <w:spacing w:after="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（限0-18周岁（含18周岁）</w:t>
            </w:r>
          </w:p>
        </w:tc>
        <w:tc>
          <w:tcPr>
            <w:tcW w:w="6239" w:type="dxa"/>
            <w:gridSpan w:val="4"/>
            <w:tcBorders>
              <w:top w:val="nil"/>
              <w:left w:val="nil"/>
              <w:bottom w:val="single" w:color="auto" w:sz="4" w:space="0"/>
              <w:right w:val="single" w:color="auto" w:sz="4" w:space="0"/>
            </w:tcBorders>
            <w:shd w:val="clear" w:color="auto" w:fill="auto"/>
            <w:vAlign w:val="center"/>
          </w:tcPr>
          <w:p w14:paraId="255243C2">
            <w:pPr>
              <w:adjustRightInd/>
              <w:snapToGrid/>
              <w:spacing w:after="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年度最高支付限额1.4万元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支付比例为70%</w:t>
            </w:r>
          </w:p>
        </w:tc>
      </w:tr>
      <w:tr w14:paraId="4418BF77">
        <w:tblPrEx>
          <w:tblCellMar>
            <w:top w:w="0" w:type="dxa"/>
            <w:left w:w="108" w:type="dxa"/>
            <w:bottom w:w="0" w:type="dxa"/>
            <w:right w:w="108" w:type="dxa"/>
          </w:tblCellMar>
        </w:tblPrEx>
        <w:trPr>
          <w:trHeight w:val="2240"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D22A2">
            <w:pPr>
              <w:adjustRightInd/>
              <w:snapToGrid/>
              <w:spacing w:after="0"/>
              <w:jc w:val="center"/>
              <w:rPr>
                <w:rFonts w:hint="eastAsia" w:ascii="仿宋" w:hAnsi="仿宋" w:eastAsia="仿宋" w:cs="仿宋"/>
                <w:color w:val="auto"/>
                <w:sz w:val="24"/>
                <w:szCs w:val="24"/>
                <w:highlight w:val="none"/>
              </w:rPr>
            </w:pPr>
          </w:p>
        </w:tc>
        <w:tc>
          <w:tcPr>
            <w:tcW w:w="4054" w:type="dxa"/>
            <w:gridSpan w:val="2"/>
            <w:tcBorders>
              <w:top w:val="nil"/>
              <w:left w:val="nil"/>
              <w:bottom w:val="single" w:color="auto" w:sz="4" w:space="0"/>
              <w:right w:val="single" w:color="auto" w:sz="4" w:space="0"/>
            </w:tcBorders>
            <w:shd w:val="clear" w:color="auto" w:fill="auto"/>
            <w:vAlign w:val="center"/>
          </w:tcPr>
          <w:p w14:paraId="4B370190">
            <w:pPr>
              <w:adjustRightInd/>
              <w:snapToGrid/>
              <w:spacing w:after="0"/>
              <w:jc w:val="center"/>
              <w:rPr>
                <w:rFonts w:hint="default" w:ascii="仿宋" w:hAnsi="仿宋" w:eastAsia="仿宋" w:cs="仿宋"/>
                <w:color w:val="000000"/>
                <w:sz w:val="24"/>
                <w:szCs w:val="24"/>
                <w:highlight w:val="none"/>
              </w:rPr>
            </w:pPr>
            <w:r>
              <w:rPr>
                <w:rFonts w:hint="default" w:ascii="仿宋" w:hAnsi="仿宋" w:eastAsia="仿宋" w:cs="仿宋"/>
                <w:color w:val="000000"/>
                <w:sz w:val="24"/>
                <w:szCs w:val="24"/>
                <w:highlight w:val="none"/>
              </w:rPr>
              <w:t>儿童孤独症</w:t>
            </w:r>
          </w:p>
        </w:tc>
        <w:tc>
          <w:tcPr>
            <w:tcW w:w="6239" w:type="dxa"/>
            <w:gridSpan w:val="4"/>
            <w:tcBorders>
              <w:top w:val="nil"/>
              <w:left w:val="nil"/>
              <w:bottom w:val="single" w:color="auto" w:sz="4" w:space="0"/>
              <w:right w:val="single" w:color="auto" w:sz="4" w:space="0"/>
            </w:tcBorders>
            <w:shd w:val="clear" w:color="auto" w:fill="auto"/>
            <w:vAlign w:val="center"/>
          </w:tcPr>
          <w:p w14:paraId="7D5A2599">
            <w:pPr>
              <w:adjustRightInd/>
              <w:snapToGrid/>
              <w:spacing w:after="0"/>
              <w:jc w:val="center"/>
              <w:rPr>
                <w:rFonts w:hint="default" w:ascii="仿宋" w:hAnsi="仿宋" w:eastAsia="仿宋" w:cs="仿宋"/>
                <w:color w:val="000000"/>
                <w:sz w:val="24"/>
                <w:szCs w:val="24"/>
                <w:highlight w:val="none"/>
              </w:rPr>
            </w:pPr>
            <w:r>
              <w:rPr>
                <w:rFonts w:hint="default" w:ascii="仿宋" w:hAnsi="仿宋" w:eastAsia="仿宋" w:cs="仿宋"/>
                <w:color w:val="000000"/>
                <w:sz w:val="24"/>
                <w:szCs w:val="24"/>
                <w:highlight w:val="none"/>
              </w:rPr>
              <w:t>不设起付标准，统筹基金按学生儿童住院相应支付比例进行支付，年度最高支付限额1.8万元。</w:t>
            </w:r>
          </w:p>
        </w:tc>
      </w:tr>
      <w:tr w14:paraId="76E903BF">
        <w:tblPrEx>
          <w:tblCellMar>
            <w:top w:w="0" w:type="dxa"/>
            <w:left w:w="108" w:type="dxa"/>
            <w:bottom w:w="0" w:type="dxa"/>
            <w:right w:w="108" w:type="dxa"/>
          </w:tblCellMar>
        </w:tblPrEx>
        <w:trPr>
          <w:trHeight w:val="880" w:hRule="atLeast"/>
          <w:jc w:val="center"/>
        </w:trPr>
        <w:tc>
          <w:tcPr>
            <w:tcW w:w="11399" w:type="dxa"/>
            <w:gridSpan w:val="7"/>
            <w:tcBorders>
              <w:top w:val="single" w:color="auto" w:sz="4" w:space="0"/>
              <w:left w:val="single" w:color="auto" w:sz="4" w:space="0"/>
              <w:bottom w:val="single" w:color="auto" w:sz="4" w:space="0"/>
              <w:right w:val="single" w:color="000000" w:sz="4" w:space="0"/>
            </w:tcBorders>
            <w:vAlign w:val="center"/>
          </w:tcPr>
          <w:p w14:paraId="387EEEB2">
            <w:pPr>
              <w:keepNext w:val="0"/>
              <w:keepLines w:val="0"/>
              <w:widowControl w:val="0"/>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注：</w:t>
            </w:r>
            <w:r>
              <w:rPr>
                <w:rFonts w:hint="default" w:ascii="仿宋" w:hAnsi="仿宋" w:eastAsia="仿宋" w:cs="仿宋"/>
                <w:color w:val="auto"/>
                <w:sz w:val="24"/>
                <w:szCs w:val="24"/>
                <w:highlight w:val="none"/>
              </w:rPr>
              <w:t>1.</w:t>
            </w:r>
            <w:r>
              <w:rPr>
                <w:rFonts w:hint="eastAsia" w:ascii="仿宋" w:hAnsi="仿宋" w:eastAsia="仿宋" w:cs="仿宋"/>
                <w:color w:val="auto"/>
                <w:kern w:val="2"/>
                <w:sz w:val="24"/>
                <w:szCs w:val="24"/>
                <w:highlight w:val="none"/>
                <w:lang w:val="en-US" w:eastAsia="zh-CN" w:bidi="ar"/>
              </w:rPr>
              <w:t>一个年度内，血液滤过和血液灌流两项治疗合计不超过12次。</w:t>
            </w:r>
          </w:p>
          <w:p w14:paraId="410449D9">
            <w:pPr>
              <w:keepNext w:val="0"/>
              <w:keepLines w:val="0"/>
              <w:widowControl w:val="0"/>
              <w:numPr>
                <w:ilvl w:val="0"/>
                <w:numId w:val="1"/>
              </w:numPr>
              <w:suppressLineNumbers w:val="0"/>
              <w:autoSpaceDE w:val="0"/>
              <w:autoSpaceDN/>
              <w:adjustRightInd w:val="0"/>
              <w:snapToGrid w:val="0"/>
              <w:spacing w:before="0" w:beforeAutospacing="0" w:after="0" w:afterAutospacing="0"/>
              <w:ind w:left="480" w:leftChars="0" w:right="0" w:rightChars="0" w:firstLine="0" w:firstLine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肝、肾、肺、心脏移植术后抗排异治疗的，同一患者进行多个（次）器官移植的，以最后一个（次）器官移植时间计算门诊年度最高支付限额，并执行单个器官移植抗排异治疗标准。</w:t>
            </w:r>
          </w:p>
          <w:p w14:paraId="787DCB72">
            <w:pPr>
              <w:keepNext w:val="0"/>
              <w:keepLines w:val="0"/>
              <w:widowControl w:val="0"/>
              <w:numPr>
                <w:ilvl w:val="0"/>
                <w:numId w:val="1"/>
              </w:numPr>
              <w:suppressLineNumbers w:val="0"/>
              <w:autoSpaceDE w:val="0"/>
              <w:autoSpaceDN/>
              <w:adjustRightInd w:val="0"/>
              <w:snapToGrid w:val="0"/>
              <w:spacing w:before="0" w:beforeAutospacing="0" w:after="0" w:afterAutospacing="0"/>
              <w:ind w:left="480" w:leftChars="0" w:right="0" w:rightChars="0" w:firstLine="0" w:firstLine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门诊特殊疾病患者根据病情需要选定一所特殊疾病门诊定点医疗机构进行治疗，发生的与本人病情相关的政策范围内医疗费用纳入统筹金支付范围，不设起付标准，统筹金按相应病种支付比例予以支付，并统一计入医疗保险年度最高支付限额内。</w:t>
            </w:r>
          </w:p>
        </w:tc>
      </w:tr>
    </w:tbl>
    <w:p w14:paraId="5A2C9F7F">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b/>
          <w:bCs/>
          <w:color w:val="auto"/>
          <w:sz w:val="32"/>
          <w:szCs w:val="32"/>
          <w:highlight w:val="none"/>
          <w:lang w:val="en-US" w:eastAsia="zh-CN"/>
        </w:rPr>
      </w:pPr>
    </w:p>
    <w:p w14:paraId="2FBBC341">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门诊慢性病待遇</w:t>
      </w:r>
    </w:p>
    <w:tbl>
      <w:tblPr>
        <w:tblStyle w:val="7"/>
        <w:tblW w:w="10076" w:type="dxa"/>
        <w:jc w:val="center"/>
        <w:tblLayout w:type="fixed"/>
        <w:tblCellMar>
          <w:top w:w="0" w:type="dxa"/>
          <w:left w:w="108" w:type="dxa"/>
          <w:bottom w:w="0" w:type="dxa"/>
          <w:right w:w="108" w:type="dxa"/>
        </w:tblCellMar>
      </w:tblPr>
      <w:tblGrid>
        <w:gridCol w:w="957"/>
        <w:gridCol w:w="5081"/>
        <w:gridCol w:w="1133"/>
        <w:gridCol w:w="1461"/>
        <w:gridCol w:w="1444"/>
      </w:tblGrid>
      <w:tr w14:paraId="0DEBC2C6">
        <w:tblPrEx>
          <w:tblCellMar>
            <w:top w:w="0" w:type="dxa"/>
            <w:left w:w="108" w:type="dxa"/>
            <w:bottom w:w="0" w:type="dxa"/>
            <w:right w:w="108" w:type="dxa"/>
          </w:tblCellMar>
        </w:tblPrEx>
        <w:trPr>
          <w:trHeight w:val="1008"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49B13DB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2EF7353">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门诊慢性病病种</w:t>
            </w:r>
          </w:p>
        </w:tc>
        <w:tc>
          <w:tcPr>
            <w:tcW w:w="1133" w:type="dxa"/>
            <w:tcBorders>
              <w:top w:val="single" w:color="auto" w:sz="4" w:space="0"/>
              <w:left w:val="nil"/>
              <w:bottom w:val="single" w:color="auto" w:sz="4" w:space="0"/>
              <w:right w:val="single" w:color="000000" w:sz="4" w:space="0"/>
            </w:tcBorders>
            <w:shd w:val="clear" w:color="auto" w:fill="auto"/>
            <w:vAlign w:val="center"/>
          </w:tcPr>
          <w:p w14:paraId="7141E239">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统筹基金支付比例</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F7547F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每人每季度，统筹基金最高支付限额</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E1BF4AD">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一个年度内，统筹基金最高支付限额</w:t>
            </w:r>
          </w:p>
        </w:tc>
      </w:tr>
      <w:tr w14:paraId="0A499343">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88ECE9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772F7F0A">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高血压病合并症</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3F19DA">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c>
          <w:tcPr>
            <w:tcW w:w="1461" w:type="dxa"/>
            <w:vMerge w:val="restart"/>
            <w:tcBorders>
              <w:top w:val="single" w:color="auto" w:sz="4" w:space="0"/>
              <w:left w:val="single" w:color="auto" w:sz="4" w:space="0"/>
              <w:right w:val="single" w:color="auto" w:sz="4" w:space="0"/>
            </w:tcBorders>
            <w:shd w:val="clear" w:color="auto" w:fill="auto"/>
            <w:vAlign w:val="center"/>
          </w:tcPr>
          <w:p w14:paraId="15EB1F87">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400元</w:t>
            </w:r>
          </w:p>
        </w:tc>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CCC1A">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1600元</w:t>
            </w:r>
          </w:p>
        </w:tc>
      </w:tr>
      <w:tr w14:paraId="06BCE2C7">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26A64621">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36803C27">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糖尿病合并症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54DFEC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10B187A2">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5706EDE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6DD34FB3">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05349143">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6059960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脑血管意外偏瘫（外伤性脑出血除外）</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664D0955">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7FAA935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7B376EDE">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12DA55AC">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54E2945">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13CA245">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重症冠心病（心功能不全3级以上）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773317C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6B034B0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754D5B02">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2247699A">
        <w:tblPrEx>
          <w:tblCellMar>
            <w:top w:w="0" w:type="dxa"/>
            <w:left w:w="108" w:type="dxa"/>
            <w:bottom w:w="0" w:type="dxa"/>
            <w:right w:w="108" w:type="dxa"/>
          </w:tblCellMar>
        </w:tblPrEx>
        <w:trPr>
          <w:trHeight w:val="391"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1BA4F48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7B228F3">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器官移植术后的抗排异治疗（肝、肾、肺、心脏移植）</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12C277F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26741EA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6D27EE49">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4E549D58">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4D91D6F1">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F5133B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肺源性心脏病（慢性心力衰竭或慢性呼吸衰竭）</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1C6DA5E9">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0C3263B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379EB1A1">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76DD0FBB">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2650C11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359913B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慢性阻塞性肺疾病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41D4DA8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2EDA537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3098F12D">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24902938">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6FA3FBD4">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52409EC6">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扩张型心肌病</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57C7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shd w:val="clear" w:color="auto" w:fill="auto"/>
            <w:vAlign w:val="center"/>
          </w:tcPr>
          <w:p w14:paraId="771CB26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06081">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32C4FCE0">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CF21E4F">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396C43B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房颤</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23F1DBC">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4E1ECAB9">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3907E0B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3DF130C7">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1F54D7E9">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3FBADCEC">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癫痫</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7F47140D">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699C320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1125573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2EF68570">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467532F0">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34CAD976">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真性红细胞增多症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6C8B4FAE">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313678FE">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1B2A14C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5E1CC619">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693F921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45CCDEF1">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肝豆状核变性</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163DB28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0B2C3D51">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7A16CA5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1E0E90A1">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8923C30">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77698C53">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慢性肾功能不全（Ⅲ期以上）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226F6DC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3FEA28C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4C46D29C">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5B667AEB">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4D3CC7FC">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43218A4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风湿性心脏病（心功能不全3级以上）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4F574B8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651B0DA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0F399FD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0EE0E1C1">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260D8C5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621113B4">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帕金森氏病或帕金森氏病综合症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2D31890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05D46C2D">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72C50EBF">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5C5118CB">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7A566929">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54407024">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肝硬化</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6D1AC052">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6985C80B">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140800E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68A6898D">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4DE31C5">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733C11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重症肌无力</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48D163A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70C3186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794BAAD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5A98A58D">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4F9C2DF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544FCBFD">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类风湿性关节炎（功能</w:t>
            </w:r>
            <w:r>
              <w:rPr>
                <w:rFonts w:hint="eastAsia" w:ascii="仿宋" w:hAnsi="仿宋" w:eastAsia="仿宋" w:cs="仿宋"/>
                <w:color w:val="auto"/>
                <w:sz w:val="24"/>
                <w:szCs w:val="24"/>
                <w:highlight w:val="none"/>
                <w:lang w:val="en-US" w:eastAsia="zh-CN"/>
              </w:rPr>
              <w:t>3级以上</w:t>
            </w:r>
            <w:r>
              <w:rPr>
                <w:rFonts w:hint="eastAsia" w:ascii="仿宋" w:hAnsi="仿宋" w:eastAsia="仿宋" w:cs="仿宋"/>
                <w:color w:val="auto"/>
                <w:sz w:val="24"/>
                <w:szCs w:val="24"/>
                <w:highlight w:val="none"/>
                <w:lang w:eastAsia="zh-CN"/>
              </w:rPr>
              <w:t>）</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063CFF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4BE5011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61D4C39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1C8D28B0">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7C9068BA">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9</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6146B0E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慢性病毒性肝炎</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6AC508A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44F5800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3CADA0F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17FD5B82">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08EBF7EF">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7AC0EB3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布鲁氏菌病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E05928D">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36040F21">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7F2E53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5EA936ED">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5BCB9EA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66FFA26D">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艾滋病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0A60AAF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5845B08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31AB7C8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4DB3DA77">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16DEBADC">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70040B6E">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支气管哮喘</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ADBA4E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17961F27">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26B9F8E">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05C39E58">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29DBC900">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44F95032">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阿尔茨海默症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47F69B1C">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27EE04B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E754F78">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41B54B8D">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3BB6A3C">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7CBFD5B4">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冠状动脉支架术后药物治疗</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10E31D66">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37518AEC">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42068C7F">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28919C4F">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20048BE5">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3E3AB6B">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冠状动脉搭桥术后药物治疗</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3E47A7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14D8D7A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33AA4D4">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327DA3DC">
        <w:tblPrEx>
          <w:tblCellMar>
            <w:top w:w="0" w:type="dxa"/>
            <w:left w:w="108" w:type="dxa"/>
            <w:bottom w:w="0" w:type="dxa"/>
            <w:right w:w="108" w:type="dxa"/>
          </w:tblCellMar>
        </w:tblPrEx>
        <w:trPr>
          <w:trHeight w:val="3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041337F4">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AC39AC0">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银屑病</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F2B9D59">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right w:val="single" w:color="auto" w:sz="4" w:space="0"/>
            </w:tcBorders>
            <w:vAlign w:val="center"/>
          </w:tcPr>
          <w:p w14:paraId="0986C22B">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F7FDD8A">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auto"/>
                <w:sz w:val="24"/>
                <w:szCs w:val="24"/>
                <w:highlight w:val="none"/>
                <w:lang w:eastAsia="zh-CN"/>
              </w:rPr>
            </w:pPr>
          </w:p>
        </w:tc>
      </w:tr>
      <w:tr w14:paraId="0DA1DFBC">
        <w:tblPrEx>
          <w:tblCellMar>
            <w:top w:w="0" w:type="dxa"/>
            <w:left w:w="108" w:type="dxa"/>
            <w:bottom w:w="0" w:type="dxa"/>
            <w:right w:w="108" w:type="dxa"/>
          </w:tblCellMar>
        </w:tblPrEx>
        <w:trPr>
          <w:trHeight w:val="4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B4E1FAE">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27</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66824F8">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子宫内膜异位症</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CE224C6">
            <w:pPr>
              <w:keepNext w:val="0"/>
              <w:keepLines w:val="0"/>
              <w:pageBreakBefore w:val="0"/>
              <w:widowControl/>
              <w:kinsoku/>
              <w:wordWrap/>
              <w:overflowPunct/>
              <w:topLinePunct w:val="0"/>
              <w:autoSpaceDE/>
              <w:autoSpaceDN/>
              <w:bidi w:val="0"/>
              <w:adjustRightInd/>
              <w:snapToGrid/>
              <w:spacing w:after="0"/>
              <w:ind w:left="0" w:leftChars="0" w:firstLine="0" w:firstLineChars="0"/>
              <w:jc w:val="left"/>
              <w:textAlignment w:val="auto"/>
              <w:rPr>
                <w:rFonts w:hint="eastAsia" w:ascii="仿宋" w:hAnsi="仿宋" w:eastAsia="仿宋" w:cs="仿宋"/>
                <w:color w:val="auto"/>
                <w:sz w:val="24"/>
                <w:szCs w:val="24"/>
                <w:highlight w:val="none"/>
                <w:lang w:eastAsia="zh-CN"/>
              </w:rPr>
            </w:pPr>
          </w:p>
        </w:tc>
        <w:tc>
          <w:tcPr>
            <w:tcW w:w="1461" w:type="dxa"/>
            <w:vMerge w:val="continue"/>
            <w:tcBorders>
              <w:left w:val="single" w:color="auto" w:sz="4" w:space="0"/>
              <w:bottom w:val="single" w:color="auto" w:sz="4" w:space="0"/>
              <w:right w:val="single" w:color="auto" w:sz="4" w:space="0"/>
            </w:tcBorders>
            <w:vAlign w:val="center"/>
          </w:tcPr>
          <w:p w14:paraId="3908E4FD">
            <w:pPr>
              <w:keepNext w:val="0"/>
              <w:keepLines w:val="0"/>
              <w:pageBreakBefore w:val="0"/>
              <w:widowControl/>
              <w:kinsoku/>
              <w:wordWrap/>
              <w:overflowPunct/>
              <w:topLinePunct w:val="0"/>
              <w:autoSpaceDE/>
              <w:autoSpaceDN/>
              <w:bidi w:val="0"/>
              <w:adjustRightInd/>
              <w:snapToGrid/>
              <w:spacing w:after="0"/>
              <w:ind w:left="0" w:leftChars="0" w:firstLine="0" w:firstLineChars="0"/>
              <w:jc w:val="left"/>
              <w:textAlignment w:val="auto"/>
              <w:rPr>
                <w:rFonts w:hint="eastAsia" w:ascii="仿宋" w:hAnsi="仿宋" w:eastAsia="仿宋" w:cs="仿宋"/>
                <w:color w:val="auto"/>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47B1763D">
            <w:pPr>
              <w:keepNext w:val="0"/>
              <w:keepLines w:val="0"/>
              <w:pageBreakBefore w:val="0"/>
              <w:widowControl/>
              <w:kinsoku/>
              <w:wordWrap/>
              <w:overflowPunct/>
              <w:topLinePunct w:val="0"/>
              <w:autoSpaceDE/>
              <w:autoSpaceDN/>
              <w:bidi w:val="0"/>
              <w:adjustRightInd/>
              <w:snapToGrid/>
              <w:spacing w:after="0"/>
              <w:ind w:left="0" w:leftChars="0" w:firstLine="0" w:firstLineChars="0"/>
              <w:jc w:val="left"/>
              <w:textAlignment w:val="auto"/>
              <w:rPr>
                <w:rFonts w:hint="eastAsia" w:ascii="仿宋" w:hAnsi="仿宋" w:eastAsia="仿宋" w:cs="仿宋"/>
                <w:color w:val="auto"/>
                <w:sz w:val="24"/>
                <w:szCs w:val="24"/>
                <w:highlight w:val="none"/>
                <w:lang w:eastAsia="zh-CN"/>
              </w:rPr>
            </w:pPr>
          </w:p>
        </w:tc>
      </w:tr>
      <w:tr w14:paraId="12DB3926">
        <w:tblPrEx>
          <w:tblCellMar>
            <w:top w:w="0" w:type="dxa"/>
            <w:left w:w="108" w:type="dxa"/>
            <w:bottom w:w="0" w:type="dxa"/>
            <w:right w:w="108" w:type="dxa"/>
          </w:tblCellMar>
        </w:tblPrEx>
        <w:trPr>
          <w:trHeight w:val="462"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bottom"/>
          </w:tcPr>
          <w:p w14:paraId="31A395DF">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eastAsia="zh-CN"/>
              </w:rPr>
              <w:t>28</w:t>
            </w:r>
          </w:p>
        </w:tc>
        <w:tc>
          <w:tcPr>
            <w:tcW w:w="5081" w:type="dxa"/>
            <w:tcBorders>
              <w:top w:val="single" w:color="auto" w:sz="4" w:space="0"/>
              <w:left w:val="single" w:color="auto" w:sz="4" w:space="0"/>
              <w:bottom w:val="single" w:color="auto" w:sz="4" w:space="0"/>
              <w:right w:val="single" w:color="auto" w:sz="4" w:space="0"/>
            </w:tcBorders>
            <w:shd w:val="clear" w:color="auto" w:fill="auto"/>
            <w:vAlign w:val="center"/>
          </w:tcPr>
          <w:p w14:paraId="0421D0A9">
            <w:pPr>
              <w:keepNext w:val="0"/>
              <w:keepLines w:val="0"/>
              <w:pageBreakBefore w:val="0"/>
              <w:widowControl/>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eastAsia="zh-CN"/>
              </w:rPr>
              <w:t>慢性心力衰竭</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08401933">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000000"/>
                <w:sz w:val="24"/>
                <w:szCs w:val="24"/>
                <w:highlight w:val="none"/>
                <w:lang w:eastAsia="zh-CN"/>
              </w:rPr>
            </w:pPr>
          </w:p>
        </w:tc>
        <w:tc>
          <w:tcPr>
            <w:tcW w:w="1461" w:type="dxa"/>
            <w:vMerge w:val="continue"/>
            <w:tcBorders>
              <w:left w:val="single" w:color="auto" w:sz="4" w:space="0"/>
              <w:bottom w:val="single" w:color="auto" w:sz="4" w:space="0"/>
              <w:right w:val="single" w:color="auto" w:sz="4" w:space="0"/>
            </w:tcBorders>
            <w:vAlign w:val="center"/>
          </w:tcPr>
          <w:p w14:paraId="6C209E10">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000000"/>
                <w:sz w:val="24"/>
                <w:szCs w:val="24"/>
                <w:highlight w:val="none"/>
                <w:lang w:eastAsia="zh-CN"/>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032036EC">
            <w:pPr>
              <w:keepNext w:val="0"/>
              <w:keepLines w:val="0"/>
              <w:pageBreakBefore w:val="0"/>
              <w:widowControl/>
              <w:kinsoku/>
              <w:wordWrap/>
              <w:overflowPunct/>
              <w:topLinePunct w:val="0"/>
              <w:autoSpaceDE/>
              <w:autoSpaceDN/>
              <w:bidi w:val="0"/>
              <w:adjustRightInd/>
              <w:snapToGrid/>
              <w:spacing w:after="0"/>
              <w:ind w:left="0" w:leftChars="0"/>
              <w:jc w:val="left"/>
              <w:textAlignment w:val="auto"/>
              <w:rPr>
                <w:rFonts w:hint="eastAsia" w:ascii="仿宋" w:hAnsi="仿宋" w:eastAsia="仿宋" w:cs="仿宋"/>
                <w:color w:val="000000"/>
                <w:sz w:val="24"/>
                <w:szCs w:val="24"/>
                <w:highlight w:val="none"/>
                <w:lang w:eastAsia="zh-CN"/>
              </w:rPr>
            </w:pPr>
          </w:p>
        </w:tc>
      </w:tr>
      <w:tr w14:paraId="2E2AA849">
        <w:tblPrEx>
          <w:tblCellMar>
            <w:top w:w="0" w:type="dxa"/>
            <w:left w:w="108" w:type="dxa"/>
            <w:bottom w:w="0" w:type="dxa"/>
            <w:right w:w="108" w:type="dxa"/>
          </w:tblCellMar>
        </w:tblPrEx>
        <w:trPr>
          <w:trHeight w:val="1223" w:hRule="atLeast"/>
          <w:jc w:val="center"/>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bottom"/>
          </w:tcPr>
          <w:p w14:paraId="33AFEF44">
            <w:pPr>
              <w:keepNext w:val="0"/>
              <w:keepLines w:val="0"/>
              <w:pageBreakBefore w:val="0"/>
              <w:widowControl/>
              <w:kinsoku/>
              <w:wordWrap/>
              <w:overflowPunct/>
              <w:topLinePunct w:val="0"/>
              <w:autoSpaceDE/>
              <w:autoSpaceDN/>
              <w:bidi w:val="0"/>
              <w:adjustRightInd/>
              <w:snapToGrid/>
              <w:spacing w:after="0"/>
              <w:ind w:left="960" w:leftChars="0" w:hanging="960" w:hangingChars="4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注：</w:t>
            </w:r>
            <w:r>
              <w:rPr>
                <w:rFonts w:hint="eastAsia" w:ascii="仿宋" w:hAnsi="仿宋" w:eastAsia="仿宋" w:cs="仿宋"/>
                <w:color w:val="000000"/>
                <w:sz w:val="24"/>
                <w:szCs w:val="24"/>
                <w:highlight w:val="none"/>
                <w:lang w:val="en-US" w:eastAsia="zh-CN"/>
              </w:rPr>
              <w:t>1、门诊慢性病患者在定点医疗机构或定点零售药店发生的政策范围内医疗费用纳入统筹基金支付范围，统筹基金支付实行季度限额管理，不设起付标准，不累计、不滚存、不结转，统一计入医疗保险年度最高支付限额内。</w:t>
            </w:r>
          </w:p>
          <w:p w14:paraId="65E0B9E0">
            <w:pPr>
              <w:keepNext w:val="0"/>
              <w:keepLines w:val="0"/>
              <w:pageBreakBefore w:val="0"/>
              <w:widowControl/>
              <w:numPr>
                <w:ilvl w:val="0"/>
                <w:numId w:val="2"/>
              </w:numPr>
              <w:kinsoku/>
              <w:wordWrap/>
              <w:overflowPunct/>
              <w:topLinePunct w:val="0"/>
              <w:autoSpaceDE/>
              <w:autoSpaceDN/>
              <w:bidi w:val="0"/>
              <w:adjustRightInd/>
              <w:snapToGrid/>
              <w:spacing w:after="0"/>
              <w:ind w:left="500" w:lef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同时患有两种或以上病种的，每人每季度统筹基金支付增加100元。</w:t>
            </w:r>
          </w:p>
        </w:tc>
      </w:tr>
    </w:tbl>
    <w:p w14:paraId="58BFEDC6">
      <w:pPr>
        <w:ind w:firstLine="643" w:firstLineChars="200"/>
        <w:jc w:val="left"/>
        <w:rPr>
          <w:rFonts w:hint="eastAsia" w:ascii="仿宋" w:hAnsi="仿宋" w:eastAsia="仿宋" w:cs="仿宋"/>
          <w:b/>
          <w:bCs/>
          <w:color w:val="auto"/>
          <w:sz w:val="32"/>
          <w:szCs w:val="32"/>
          <w:highlight w:val="none"/>
          <w:vertAlign w:val="baseli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普通门诊待遇</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673"/>
        <w:gridCol w:w="1700"/>
        <w:gridCol w:w="3422"/>
      </w:tblGrid>
      <w:tr w14:paraId="1B51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4" w:type="dxa"/>
            <w:vMerge w:val="restart"/>
            <w:vAlign w:val="center"/>
          </w:tcPr>
          <w:p w14:paraId="6F4C36F8">
            <w:pPr>
              <w:widowControl w:val="0"/>
              <w:jc w:val="center"/>
              <w:rPr>
                <w:rFonts w:hint="eastAsia" w:ascii="仿宋" w:hAnsi="仿宋" w:eastAsia="仿宋" w:cs="仿宋"/>
                <w:b w:val="0"/>
                <w:bCs w:val="0"/>
                <w:color w:val="auto"/>
                <w:sz w:val="24"/>
                <w:szCs w:val="24"/>
                <w:highlight w:val="none"/>
                <w:vertAlign w:val="baseline"/>
                <w:lang w:eastAsia="zh-CN"/>
              </w:rPr>
            </w:pPr>
          </w:p>
          <w:p w14:paraId="47C34FDC">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医疗机构等级</w:t>
            </w:r>
          </w:p>
        </w:tc>
        <w:tc>
          <w:tcPr>
            <w:tcW w:w="1673" w:type="dxa"/>
            <w:vMerge w:val="restart"/>
            <w:vAlign w:val="center"/>
          </w:tcPr>
          <w:p w14:paraId="3977A45F">
            <w:pPr>
              <w:widowControl w:val="0"/>
              <w:jc w:val="center"/>
              <w:rPr>
                <w:rFonts w:hint="eastAsia" w:ascii="仿宋" w:hAnsi="仿宋" w:eastAsia="仿宋" w:cs="仿宋"/>
                <w:b w:val="0"/>
                <w:bCs w:val="0"/>
                <w:color w:val="auto"/>
                <w:sz w:val="24"/>
                <w:szCs w:val="24"/>
                <w:highlight w:val="none"/>
                <w:vertAlign w:val="baseline"/>
                <w:lang w:eastAsia="zh-CN"/>
              </w:rPr>
            </w:pPr>
          </w:p>
          <w:p w14:paraId="46FF9068">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起付标准（元）</w:t>
            </w:r>
          </w:p>
        </w:tc>
        <w:tc>
          <w:tcPr>
            <w:tcW w:w="5122" w:type="dxa"/>
            <w:gridSpan w:val="2"/>
            <w:vAlign w:val="center"/>
          </w:tcPr>
          <w:p w14:paraId="6AB7CBBD">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普通门诊</w:t>
            </w:r>
          </w:p>
        </w:tc>
      </w:tr>
      <w:tr w14:paraId="7621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4" w:type="dxa"/>
            <w:vMerge w:val="continue"/>
            <w:vAlign w:val="center"/>
          </w:tcPr>
          <w:p w14:paraId="5147AB36">
            <w:pPr>
              <w:widowControl w:val="0"/>
              <w:jc w:val="center"/>
              <w:rPr>
                <w:rFonts w:hint="eastAsia" w:ascii="仿宋" w:hAnsi="仿宋" w:eastAsia="仿宋" w:cs="仿宋"/>
                <w:b w:val="0"/>
                <w:bCs w:val="0"/>
                <w:color w:val="auto"/>
                <w:sz w:val="24"/>
                <w:szCs w:val="24"/>
                <w:highlight w:val="none"/>
                <w:vertAlign w:val="baseline"/>
                <w:lang w:eastAsia="zh-CN"/>
              </w:rPr>
            </w:pPr>
          </w:p>
        </w:tc>
        <w:tc>
          <w:tcPr>
            <w:tcW w:w="1673" w:type="dxa"/>
            <w:vMerge w:val="continue"/>
            <w:vAlign w:val="center"/>
          </w:tcPr>
          <w:p w14:paraId="7931EED0">
            <w:pPr>
              <w:widowControl w:val="0"/>
              <w:jc w:val="center"/>
              <w:rPr>
                <w:rFonts w:hint="eastAsia" w:ascii="仿宋" w:hAnsi="仿宋" w:eastAsia="仿宋" w:cs="仿宋"/>
                <w:b w:val="0"/>
                <w:bCs w:val="0"/>
                <w:color w:val="auto"/>
                <w:sz w:val="24"/>
                <w:szCs w:val="24"/>
                <w:highlight w:val="none"/>
                <w:vertAlign w:val="baseline"/>
                <w:lang w:eastAsia="zh-CN"/>
              </w:rPr>
            </w:pPr>
          </w:p>
        </w:tc>
        <w:tc>
          <w:tcPr>
            <w:tcW w:w="1700" w:type="dxa"/>
            <w:vAlign w:val="center"/>
          </w:tcPr>
          <w:p w14:paraId="3AD2A303">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统筹基金支付比例</w:t>
            </w:r>
          </w:p>
        </w:tc>
        <w:tc>
          <w:tcPr>
            <w:tcW w:w="3422" w:type="dxa"/>
            <w:vAlign w:val="center"/>
          </w:tcPr>
          <w:p w14:paraId="310FFAAE">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一个年度内，统筹基金最高支付限额</w:t>
            </w:r>
          </w:p>
        </w:tc>
      </w:tr>
      <w:tr w14:paraId="52F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4" w:type="dxa"/>
            <w:vAlign w:val="center"/>
          </w:tcPr>
          <w:p w14:paraId="1821BC88">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一级及无等级</w:t>
            </w:r>
          </w:p>
        </w:tc>
        <w:tc>
          <w:tcPr>
            <w:tcW w:w="1673" w:type="dxa"/>
            <w:vMerge w:val="restart"/>
            <w:vAlign w:val="center"/>
          </w:tcPr>
          <w:p w14:paraId="616F1D12">
            <w:pPr>
              <w:widowControl w:val="0"/>
              <w:jc w:val="center"/>
              <w:rPr>
                <w:rFonts w:hint="eastAsia" w:ascii="仿宋" w:hAnsi="仿宋" w:eastAsia="仿宋" w:cs="仿宋"/>
                <w:b w:val="0"/>
                <w:bCs w:val="0"/>
                <w:color w:val="auto"/>
                <w:sz w:val="24"/>
                <w:szCs w:val="24"/>
                <w:highlight w:val="none"/>
                <w:vertAlign w:val="baseline"/>
                <w:lang w:val="en-US" w:eastAsia="zh-CN"/>
              </w:rPr>
            </w:pPr>
          </w:p>
          <w:p w14:paraId="44F30341">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0元</w:t>
            </w:r>
          </w:p>
        </w:tc>
        <w:tc>
          <w:tcPr>
            <w:tcW w:w="1700" w:type="dxa"/>
            <w:vAlign w:val="center"/>
          </w:tcPr>
          <w:p w14:paraId="1E37BCAE">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70%</w:t>
            </w:r>
          </w:p>
        </w:tc>
        <w:tc>
          <w:tcPr>
            <w:tcW w:w="3422" w:type="dxa"/>
            <w:vMerge w:val="restart"/>
            <w:vAlign w:val="center"/>
          </w:tcPr>
          <w:p w14:paraId="446D2075">
            <w:pPr>
              <w:widowControl w:val="0"/>
              <w:jc w:val="center"/>
              <w:rPr>
                <w:rFonts w:hint="eastAsia" w:ascii="仿宋" w:hAnsi="仿宋" w:eastAsia="仿宋" w:cs="仿宋"/>
                <w:b w:val="0"/>
                <w:bCs w:val="0"/>
                <w:color w:val="auto"/>
                <w:sz w:val="24"/>
                <w:szCs w:val="24"/>
                <w:highlight w:val="none"/>
                <w:vertAlign w:val="baseline"/>
                <w:lang w:val="en-US" w:eastAsia="zh-CN"/>
              </w:rPr>
            </w:pPr>
          </w:p>
          <w:p w14:paraId="0F5406C9">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500元</w:t>
            </w:r>
          </w:p>
        </w:tc>
      </w:tr>
      <w:tr w14:paraId="24F4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4" w:type="dxa"/>
            <w:vAlign w:val="center"/>
          </w:tcPr>
          <w:p w14:paraId="30DC94F9">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eastAsia="zh-CN"/>
              </w:rPr>
              <w:t>二级</w:t>
            </w:r>
          </w:p>
        </w:tc>
        <w:tc>
          <w:tcPr>
            <w:tcW w:w="1673" w:type="dxa"/>
            <w:vMerge w:val="continue"/>
            <w:vAlign w:val="center"/>
          </w:tcPr>
          <w:p w14:paraId="3CAECE3B">
            <w:pPr>
              <w:widowControl w:val="0"/>
              <w:jc w:val="center"/>
              <w:rPr>
                <w:rFonts w:hint="eastAsia" w:ascii="仿宋" w:hAnsi="仿宋" w:eastAsia="仿宋" w:cs="仿宋"/>
                <w:b w:val="0"/>
                <w:bCs w:val="0"/>
                <w:color w:val="auto"/>
                <w:sz w:val="24"/>
                <w:szCs w:val="24"/>
                <w:highlight w:val="none"/>
                <w:vertAlign w:val="baseline"/>
              </w:rPr>
            </w:pPr>
          </w:p>
        </w:tc>
        <w:tc>
          <w:tcPr>
            <w:tcW w:w="1700" w:type="dxa"/>
            <w:vAlign w:val="center"/>
          </w:tcPr>
          <w:p w14:paraId="7DCEFE24">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60%</w:t>
            </w:r>
          </w:p>
        </w:tc>
        <w:tc>
          <w:tcPr>
            <w:tcW w:w="3422" w:type="dxa"/>
            <w:vMerge w:val="continue"/>
          </w:tcPr>
          <w:p w14:paraId="141814A3">
            <w:pPr>
              <w:widowControl w:val="0"/>
              <w:jc w:val="left"/>
              <w:rPr>
                <w:rFonts w:hint="eastAsia" w:ascii="仿宋" w:hAnsi="仿宋" w:eastAsia="仿宋" w:cs="仿宋"/>
                <w:b w:val="0"/>
                <w:bCs w:val="0"/>
                <w:color w:val="auto"/>
                <w:sz w:val="32"/>
                <w:szCs w:val="32"/>
                <w:highlight w:val="none"/>
                <w:vertAlign w:val="baseline"/>
              </w:rPr>
            </w:pPr>
          </w:p>
        </w:tc>
      </w:tr>
      <w:tr w14:paraId="3EC8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64" w:type="dxa"/>
            <w:vAlign w:val="center"/>
          </w:tcPr>
          <w:p w14:paraId="6BE2F1EB">
            <w:pPr>
              <w:widowControl w:val="0"/>
              <w:jc w:val="center"/>
              <w:rPr>
                <w:rFonts w:hint="eastAsia" w:ascii="仿宋" w:hAnsi="仿宋" w:eastAsia="仿宋" w:cs="仿宋"/>
                <w:b w:val="0"/>
                <w:bCs w:val="0"/>
                <w:color w:val="auto"/>
                <w:sz w:val="24"/>
                <w:szCs w:val="24"/>
                <w:highlight w:val="none"/>
                <w:vertAlign w:val="baseline"/>
                <w:lang w:eastAsia="zh-CN"/>
              </w:rPr>
            </w:pPr>
            <w:r>
              <w:rPr>
                <w:rFonts w:hint="eastAsia" w:ascii="仿宋" w:hAnsi="仿宋" w:eastAsia="仿宋" w:cs="仿宋"/>
                <w:b w:val="0"/>
                <w:bCs w:val="0"/>
                <w:color w:val="auto"/>
                <w:sz w:val="24"/>
                <w:szCs w:val="24"/>
                <w:highlight w:val="none"/>
                <w:vertAlign w:val="baseline"/>
                <w:lang w:eastAsia="zh-CN"/>
              </w:rPr>
              <w:t>三级</w:t>
            </w:r>
          </w:p>
        </w:tc>
        <w:tc>
          <w:tcPr>
            <w:tcW w:w="1673" w:type="dxa"/>
            <w:vMerge w:val="continue"/>
            <w:vAlign w:val="center"/>
          </w:tcPr>
          <w:p w14:paraId="68A1A475">
            <w:pPr>
              <w:widowControl w:val="0"/>
              <w:jc w:val="center"/>
              <w:rPr>
                <w:rFonts w:hint="eastAsia" w:ascii="仿宋" w:hAnsi="仿宋" w:eastAsia="仿宋" w:cs="仿宋"/>
                <w:b w:val="0"/>
                <w:bCs w:val="0"/>
                <w:color w:val="auto"/>
                <w:sz w:val="24"/>
                <w:szCs w:val="24"/>
                <w:highlight w:val="none"/>
                <w:vertAlign w:val="baseline"/>
              </w:rPr>
            </w:pPr>
          </w:p>
        </w:tc>
        <w:tc>
          <w:tcPr>
            <w:tcW w:w="1700" w:type="dxa"/>
            <w:vAlign w:val="center"/>
          </w:tcPr>
          <w:p w14:paraId="73BEDD35">
            <w:pPr>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w:t>
            </w:r>
          </w:p>
        </w:tc>
        <w:tc>
          <w:tcPr>
            <w:tcW w:w="3422" w:type="dxa"/>
            <w:vMerge w:val="continue"/>
          </w:tcPr>
          <w:p w14:paraId="3B193D89">
            <w:pPr>
              <w:widowControl w:val="0"/>
              <w:jc w:val="left"/>
              <w:rPr>
                <w:rFonts w:hint="eastAsia" w:ascii="仿宋" w:hAnsi="仿宋" w:eastAsia="仿宋" w:cs="仿宋"/>
                <w:b w:val="0"/>
                <w:bCs w:val="0"/>
                <w:color w:val="auto"/>
                <w:sz w:val="32"/>
                <w:szCs w:val="32"/>
                <w:highlight w:val="none"/>
                <w:vertAlign w:val="baseline"/>
              </w:rPr>
            </w:pPr>
          </w:p>
        </w:tc>
      </w:tr>
    </w:tbl>
    <w:p w14:paraId="374246AE">
      <w:pPr>
        <w:ind w:firstLine="643" w:firstLineChars="200"/>
        <w:jc w:val="left"/>
        <w:rPr>
          <w:rFonts w:hint="eastAsia" w:ascii="仿宋" w:hAnsi="仿宋" w:eastAsia="仿宋" w:cs="仿宋"/>
          <w:b/>
          <w:bCs/>
          <w:color w:val="auto"/>
          <w:sz w:val="32"/>
          <w:szCs w:val="32"/>
          <w:highlight w:val="none"/>
        </w:rPr>
      </w:pPr>
    </w:p>
    <w:p w14:paraId="08D3C68B">
      <w:pPr>
        <w:ind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生育医疗待遇</w:t>
      </w:r>
    </w:p>
    <w:p w14:paraId="0DAD532D">
      <w:pPr>
        <w:spacing w:line="600" w:lineRule="exact"/>
        <w:ind w:firstLine="640" w:firstLineChars="200"/>
        <w:contextualSpacing/>
        <w:jc w:val="left"/>
        <w:rPr>
          <w:rFonts w:hint="eastAsia" w:ascii="仿宋" w:hAnsi="仿宋" w:eastAsia="仿宋" w:cs="仿宋"/>
          <w:color w:val="auto"/>
          <w:sz w:val="32"/>
          <w:szCs w:val="32"/>
          <w:highlight w:val="none"/>
        </w:rPr>
      </w:pPr>
      <w:r>
        <w:rPr>
          <w:rFonts w:hint="eastAsia" w:ascii="仿宋" w:hAnsi="仿宋" w:eastAsia="仿宋" w:cs="仿宋"/>
          <w:strike w:val="0"/>
          <w:dstrike w:val="0"/>
          <w:color w:val="auto"/>
          <w:sz w:val="32"/>
          <w:szCs w:val="32"/>
          <w:highlight w:val="none"/>
          <w:lang w:eastAsia="zh-CN"/>
        </w:rPr>
        <w:t>参保女性居民</w:t>
      </w:r>
      <w:r>
        <w:rPr>
          <w:rFonts w:hint="eastAsia" w:ascii="仿宋" w:hAnsi="仿宋" w:eastAsia="仿宋" w:cs="仿宋"/>
          <w:color w:val="auto"/>
          <w:sz w:val="32"/>
          <w:szCs w:val="32"/>
          <w:highlight w:val="none"/>
          <w:lang w:eastAsia="zh-CN"/>
        </w:rPr>
        <w:t>在定点医疗机构住院分娩发生的生育医疗费用纳入统筹支付范围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实行定额结算，</w:t>
      </w:r>
      <w:r>
        <w:rPr>
          <w:rFonts w:hint="eastAsia" w:ascii="仿宋" w:hAnsi="仿宋" w:eastAsia="仿宋" w:cs="仿宋"/>
          <w:color w:val="auto"/>
          <w:sz w:val="32"/>
          <w:szCs w:val="32"/>
          <w:highlight w:val="none"/>
        </w:rPr>
        <w:t>支付标准为自然分娩900元、剖宫产1300元</w:t>
      </w:r>
      <w:r>
        <w:rPr>
          <w:rFonts w:hint="eastAsia" w:ascii="仿宋" w:hAnsi="仿宋" w:eastAsia="仿宋" w:cs="仿宋"/>
          <w:color w:val="auto"/>
          <w:sz w:val="32"/>
          <w:szCs w:val="32"/>
          <w:highlight w:val="none"/>
          <w:lang w:eastAsia="zh-CN"/>
        </w:rPr>
        <w:t>。剖宫产合并其他疾病手术发生的费用，统筹基金支付标准为</w:t>
      </w:r>
      <w:r>
        <w:rPr>
          <w:rFonts w:hint="eastAsia" w:ascii="仿宋" w:hAnsi="仿宋" w:eastAsia="仿宋" w:cs="仿宋"/>
          <w:color w:val="auto"/>
          <w:sz w:val="32"/>
          <w:szCs w:val="32"/>
          <w:highlight w:val="none"/>
          <w:lang w:val="en-US" w:eastAsia="zh-CN"/>
        </w:rPr>
        <w:t>1400元</w:t>
      </w:r>
      <w:r>
        <w:rPr>
          <w:rFonts w:hint="eastAsia" w:ascii="仿宋" w:hAnsi="仿宋" w:eastAsia="仿宋" w:cs="仿宋"/>
          <w:color w:val="auto"/>
          <w:sz w:val="32"/>
          <w:szCs w:val="32"/>
          <w:highlight w:val="none"/>
        </w:rPr>
        <w:t>。</w:t>
      </w:r>
    </w:p>
    <w:p w14:paraId="3D731C3F">
      <w:pPr>
        <w:spacing w:line="600" w:lineRule="exact"/>
        <w:ind w:firstLine="640" w:firstLineChars="200"/>
        <w:contextualSpacing/>
        <w:jc w:val="lef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注：对参保居民配偶已经按职工生育</w:t>
      </w:r>
      <w:r>
        <w:rPr>
          <w:rFonts w:hint="eastAsia" w:ascii="仿宋" w:hAnsi="仿宋" w:eastAsia="仿宋" w:cs="仿宋"/>
          <w:color w:val="auto"/>
          <w:sz w:val="32"/>
          <w:szCs w:val="32"/>
          <w:highlight w:val="none"/>
          <w:lang w:eastAsia="zh-CN"/>
        </w:rPr>
        <w:t>政策享受</w:t>
      </w:r>
      <w:r>
        <w:rPr>
          <w:rFonts w:hint="eastAsia" w:ascii="仿宋" w:hAnsi="仿宋" w:eastAsia="仿宋" w:cs="仿宋"/>
          <w:color w:val="auto"/>
          <w:sz w:val="32"/>
          <w:szCs w:val="32"/>
          <w:highlight w:val="none"/>
        </w:rPr>
        <w:t>生育</w:t>
      </w:r>
      <w:r>
        <w:rPr>
          <w:rFonts w:hint="eastAsia" w:ascii="仿宋" w:hAnsi="仿宋" w:eastAsia="仿宋" w:cs="仿宋"/>
          <w:color w:val="auto"/>
          <w:sz w:val="32"/>
          <w:szCs w:val="32"/>
          <w:highlight w:val="none"/>
          <w:lang w:eastAsia="zh-CN"/>
        </w:rPr>
        <w:t>医疗费待遇</w:t>
      </w:r>
      <w:r>
        <w:rPr>
          <w:rFonts w:hint="eastAsia" w:ascii="仿宋" w:hAnsi="仿宋" w:eastAsia="仿宋" w:cs="仿宋"/>
          <w:color w:val="auto"/>
          <w:sz w:val="32"/>
          <w:szCs w:val="32"/>
          <w:highlight w:val="none"/>
        </w:rPr>
        <w:t>的，不再享受城乡居民医保生育医疗待遇。</w:t>
      </w:r>
    </w:p>
    <w:p w14:paraId="53E6F585">
      <w:pPr>
        <w:ind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意外伤害门诊医疗待遇</w:t>
      </w:r>
    </w:p>
    <w:p w14:paraId="7440228F">
      <w:pPr>
        <w:spacing w:line="600" w:lineRule="exact"/>
        <w:ind w:firstLine="640" w:firstLineChars="200"/>
        <w:contextualSpacing/>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eastAsia="zh-CN"/>
        </w:rPr>
        <w:t>学生儿童因意外伤害在定点医院发生的统筹支付范围内门诊医疗费用，起付标准为</w:t>
      </w:r>
      <w:r>
        <w:rPr>
          <w:rFonts w:hint="eastAsia" w:ascii="仿宋" w:hAnsi="仿宋" w:eastAsia="仿宋" w:cs="仿宋"/>
          <w:color w:val="auto"/>
          <w:sz w:val="32"/>
          <w:szCs w:val="32"/>
          <w:highlight w:val="none"/>
          <w:lang w:val="en-US" w:eastAsia="zh-CN"/>
        </w:rPr>
        <w:t>100元，统筹基金支付比例为50%，一个年度内最多支付1000元。</w:t>
      </w:r>
    </w:p>
    <w:p w14:paraId="0664D972">
      <w:pPr>
        <w:ind w:firstLine="643"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九、高血压、糖尿病门诊医疗待遇（简称“两病门诊”）</w:t>
      </w:r>
    </w:p>
    <w:p w14:paraId="7FC7F375">
      <w:pPr>
        <w:spacing w:line="600" w:lineRule="exact"/>
        <w:ind w:firstLine="576" w:firstLineChars="200"/>
        <w:contextualSpacing/>
        <w:jc w:val="both"/>
        <w:rPr>
          <w:rFonts w:hint="eastAsia" w:ascii="仿宋" w:hAnsi="仿宋" w:eastAsia="仿宋" w:cs="仿宋"/>
          <w:color w:val="auto"/>
          <w:w w:val="90"/>
          <w:sz w:val="32"/>
          <w:szCs w:val="32"/>
          <w:highlight w:val="none"/>
          <w:lang w:val="en-US" w:eastAsia="zh-CN"/>
        </w:rPr>
      </w:pPr>
      <w:r>
        <w:rPr>
          <w:rFonts w:hint="eastAsia" w:ascii="仿宋" w:hAnsi="仿宋" w:eastAsia="仿宋" w:cs="仿宋"/>
          <w:color w:val="auto"/>
          <w:w w:val="90"/>
          <w:sz w:val="32"/>
          <w:szCs w:val="32"/>
          <w:highlight w:val="none"/>
          <w:lang w:val="en-US" w:eastAsia="zh-CN"/>
        </w:rPr>
        <w:t>在“两病”定点医院门诊发生的降血压、降血糖药品费用由统筹基金支付，不设起付标准，二级定点医疗机构政策范围内支付比例为55%、二级以下定点基层医疗机构支付比例为60%，高血压患者降血压用药年度统筹基金最高支付限额为400元，糖尿病患者降血糖用药年度统筹基金最高支付限额为600元。</w:t>
      </w:r>
    </w:p>
    <w:p w14:paraId="2EB7ABAC">
      <w:pPr>
        <w:spacing w:line="600" w:lineRule="exact"/>
        <w:ind w:firstLine="289" w:firstLineChars="100"/>
        <w:contextualSpacing/>
        <w:jc w:val="left"/>
        <w:rPr>
          <w:rFonts w:hint="eastAsia" w:ascii="仿宋" w:hAnsi="仿宋" w:eastAsia="仿宋" w:cs="仿宋"/>
          <w:b w:val="0"/>
          <w:bCs w:val="0"/>
          <w:color w:val="auto"/>
          <w:w w:val="90"/>
          <w:sz w:val="32"/>
          <w:szCs w:val="32"/>
          <w:highlight w:val="none"/>
          <w:lang w:val="en-US" w:eastAsia="zh-CN"/>
        </w:rPr>
      </w:pPr>
      <w:r>
        <w:rPr>
          <w:rFonts w:hint="eastAsia" w:ascii="仿宋" w:hAnsi="仿宋" w:eastAsia="仿宋" w:cs="仿宋"/>
          <w:b/>
          <w:bCs/>
          <w:color w:val="auto"/>
          <w:w w:val="90"/>
          <w:sz w:val="32"/>
          <w:szCs w:val="32"/>
          <w:highlight w:val="none"/>
          <w:lang w:val="en-US" w:eastAsia="zh-CN"/>
        </w:rPr>
        <w:t>注：</w:t>
      </w:r>
      <w:r>
        <w:rPr>
          <w:rFonts w:hint="eastAsia" w:ascii="仿宋" w:hAnsi="仿宋" w:eastAsia="仿宋" w:cs="仿宋"/>
          <w:b w:val="0"/>
          <w:bCs w:val="0"/>
          <w:color w:val="auto"/>
          <w:w w:val="90"/>
          <w:sz w:val="32"/>
          <w:szCs w:val="32"/>
          <w:highlight w:val="none"/>
          <w:lang w:val="en-US" w:eastAsia="zh-CN"/>
        </w:rPr>
        <w:t>1.已经享受统筹地区门诊慢性病待遇的参保人员继续执行现有的门诊慢性病保障政策，不再重复享受“两病”待遇。</w:t>
      </w:r>
    </w:p>
    <w:p w14:paraId="435E0B0C">
      <w:pPr>
        <w:spacing w:line="600" w:lineRule="exact"/>
        <w:ind w:firstLine="576" w:firstLineChars="200"/>
        <w:contextualSpacing/>
        <w:jc w:val="left"/>
        <w:rPr>
          <w:rFonts w:hint="eastAsia" w:ascii="仿宋" w:hAnsi="仿宋" w:eastAsia="仿宋" w:cs="仿宋"/>
          <w:b w:val="0"/>
          <w:bCs w:val="0"/>
          <w:color w:val="auto"/>
          <w:w w:val="90"/>
          <w:sz w:val="32"/>
          <w:szCs w:val="32"/>
          <w:highlight w:val="none"/>
          <w:lang w:val="en-US" w:eastAsia="zh-CN"/>
        </w:rPr>
      </w:pPr>
      <w:r>
        <w:rPr>
          <w:rFonts w:hint="eastAsia" w:ascii="仿宋" w:hAnsi="仿宋" w:eastAsia="仿宋" w:cs="仿宋"/>
          <w:b w:val="0"/>
          <w:bCs w:val="0"/>
          <w:color w:val="auto"/>
          <w:w w:val="90"/>
          <w:sz w:val="32"/>
          <w:szCs w:val="32"/>
          <w:highlight w:val="none"/>
          <w:lang w:val="en-US" w:eastAsia="zh-CN"/>
        </w:rPr>
        <w:t>2.对因病情需要住院就医的“两病”参保人员，住院期间的医疗费用按住院报销政策执行，住院期间不能同时发生“两病”门诊医疗费用。</w:t>
      </w:r>
    </w:p>
    <w:p w14:paraId="4D2713F5">
      <w:pPr>
        <w:spacing w:line="600" w:lineRule="exact"/>
        <w:contextualSpacing/>
        <w:jc w:val="left"/>
        <w:rPr>
          <w:rFonts w:hint="eastAsia" w:ascii="仿宋" w:hAnsi="仿宋" w:eastAsia="仿宋" w:cs="仿宋"/>
          <w:b w:val="0"/>
          <w:bCs w:val="0"/>
          <w:color w:val="auto"/>
          <w:w w:val="90"/>
          <w:sz w:val="32"/>
          <w:szCs w:val="32"/>
          <w:highlight w:val="none"/>
          <w:lang w:val="en-US" w:eastAsia="zh-CN"/>
        </w:rPr>
      </w:pPr>
      <w:r>
        <w:rPr>
          <w:rFonts w:hint="eastAsia" w:ascii="仿宋" w:hAnsi="仿宋" w:eastAsia="仿宋" w:cs="仿宋"/>
          <w:b/>
          <w:bCs/>
          <w:color w:val="auto"/>
          <w:w w:val="90"/>
          <w:sz w:val="32"/>
          <w:szCs w:val="32"/>
          <w:highlight w:val="none"/>
          <w:lang w:val="en-US" w:eastAsia="zh-CN"/>
        </w:rPr>
        <w:t xml:space="preserve">    </w:t>
      </w:r>
      <w:r>
        <w:rPr>
          <w:rFonts w:hint="eastAsia" w:ascii="仿宋" w:hAnsi="仿宋" w:eastAsia="仿宋" w:cs="仿宋"/>
          <w:b w:val="0"/>
          <w:bCs w:val="0"/>
          <w:color w:val="auto"/>
          <w:w w:val="90"/>
          <w:sz w:val="32"/>
          <w:szCs w:val="32"/>
          <w:highlight w:val="none"/>
          <w:lang w:val="en-US" w:eastAsia="zh-CN"/>
        </w:rPr>
        <w:t>3.“两病”患者可在本统筹区内任意二级及以下定点医疗机构购买“两病”药品，实行医保直接结算，“两病”患者只需支付应由个人负担的部分。</w:t>
      </w:r>
    </w:p>
    <w:p w14:paraId="0795493E">
      <w:pPr>
        <w:spacing w:line="600" w:lineRule="exact"/>
        <w:ind w:firstLine="576"/>
        <w:contextualSpacing/>
        <w:jc w:val="left"/>
        <w:rPr>
          <w:rFonts w:hint="eastAsia" w:ascii="仿宋" w:hAnsi="仿宋" w:eastAsia="仿宋" w:cs="仿宋"/>
          <w:b w:val="0"/>
          <w:bCs w:val="0"/>
          <w:color w:val="auto"/>
          <w:w w:val="90"/>
          <w:sz w:val="32"/>
          <w:szCs w:val="32"/>
          <w:highlight w:val="none"/>
          <w:lang w:val="en-US" w:eastAsia="zh-CN"/>
        </w:rPr>
      </w:pPr>
      <w:r>
        <w:rPr>
          <w:rFonts w:hint="eastAsia" w:ascii="仿宋" w:hAnsi="仿宋" w:eastAsia="仿宋" w:cs="仿宋"/>
          <w:b w:val="0"/>
          <w:bCs w:val="0"/>
          <w:color w:val="auto"/>
          <w:w w:val="90"/>
          <w:sz w:val="32"/>
          <w:szCs w:val="32"/>
          <w:highlight w:val="none"/>
          <w:lang w:val="en-US" w:eastAsia="zh-CN"/>
        </w:rPr>
        <w:t>4.长期异地居住的，在“两病”未实行异地门诊直接结算前，由参保人先行垫付，再到参保地经办机构报销。</w:t>
      </w:r>
    </w:p>
    <w:p w14:paraId="4944F614">
      <w:pPr>
        <w:spacing w:line="600" w:lineRule="exact"/>
        <w:ind w:firstLine="576"/>
        <w:contextualSpacing/>
        <w:jc w:val="left"/>
        <w:rPr>
          <w:rFonts w:hint="eastAsia" w:ascii="仿宋" w:hAnsi="仿宋" w:eastAsia="仿宋" w:cs="仿宋"/>
          <w:b w:val="0"/>
          <w:bCs w:val="0"/>
          <w:color w:val="auto"/>
          <w:w w:val="90"/>
          <w:sz w:val="32"/>
          <w:szCs w:val="32"/>
          <w:highlight w:val="none"/>
          <w:lang w:val="en-US" w:eastAsia="zh-CN"/>
        </w:rPr>
      </w:pPr>
    </w:p>
    <w:p w14:paraId="50AA68DA">
      <w:pPr>
        <w:spacing w:line="600" w:lineRule="exact"/>
        <w:ind w:firstLine="576"/>
        <w:contextualSpacing/>
        <w:jc w:val="left"/>
        <w:rPr>
          <w:rFonts w:hint="eastAsia" w:ascii="仿宋" w:hAnsi="仿宋" w:eastAsia="仿宋" w:cs="仿宋"/>
          <w:b w:val="0"/>
          <w:bCs w:val="0"/>
          <w:color w:val="auto"/>
          <w:w w:val="90"/>
          <w:sz w:val="32"/>
          <w:szCs w:val="32"/>
          <w:highlight w:val="none"/>
          <w:lang w:val="en-US" w:eastAsia="zh-CN"/>
        </w:rPr>
      </w:pPr>
    </w:p>
    <w:p w14:paraId="6F50CEE2">
      <w:pPr>
        <w:spacing w:line="600" w:lineRule="exact"/>
        <w:ind w:firstLine="576"/>
        <w:contextualSpacing/>
        <w:jc w:val="left"/>
        <w:rPr>
          <w:rFonts w:hint="eastAsia" w:ascii="仿宋" w:hAnsi="仿宋" w:eastAsia="仿宋" w:cs="仿宋"/>
          <w:b w:val="0"/>
          <w:bCs w:val="0"/>
          <w:color w:val="auto"/>
          <w:w w:val="90"/>
          <w:sz w:val="32"/>
          <w:szCs w:val="32"/>
          <w:highlight w:val="none"/>
          <w:lang w:val="en-US" w:eastAsia="zh-CN"/>
        </w:rPr>
      </w:pPr>
    </w:p>
    <w:p w14:paraId="06009CFF">
      <w:pPr>
        <w:keepNext w:val="0"/>
        <w:keepLines w:val="0"/>
        <w:widowControl w:val="0"/>
        <w:suppressLineNumbers w:val="0"/>
        <w:spacing w:before="0" w:beforeAutospacing="0" w:after="0" w:afterAutospacing="0" w:line="360" w:lineRule="auto"/>
        <w:ind w:left="0" w:right="0" w:firstLine="497" w:firstLineChars="131"/>
        <w:jc w:val="both"/>
        <w:rPr>
          <w:rFonts w:hint="eastAsia" w:ascii="仿宋" w:hAnsi="仿宋" w:eastAsia="仿宋" w:cs="仿宋"/>
          <w:i w:val="0"/>
          <w:iCs w:val="0"/>
          <w:caps w:val="0"/>
          <w:spacing w:val="30"/>
          <w:kern w:val="0"/>
          <w:sz w:val="32"/>
          <w:szCs w:val="32"/>
          <w:highlight w:val="none"/>
          <w:shd w:val="clear" w:fill="FEFEFE"/>
          <w:lang w:val="en-US" w:eastAsia="zh-CN" w:bidi="ar"/>
        </w:rPr>
      </w:pPr>
      <w:r>
        <w:rPr>
          <w:rFonts w:hint="eastAsia" w:ascii="仿宋" w:hAnsi="仿宋" w:eastAsia="仿宋" w:cs="仿宋"/>
          <w:i w:val="0"/>
          <w:iCs w:val="0"/>
          <w:caps w:val="0"/>
          <w:spacing w:val="30"/>
          <w:kern w:val="0"/>
          <w:sz w:val="32"/>
          <w:szCs w:val="32"/>
          <w:highlight w:val="none"/>
          <w:shd w:val="clear" w:fill="FEFEFE"/>
          <w:lang w:val="en-US" w:eastAsia="zh-CN" w:bidi="ar"/>
        </w:rPr>
        <w:t>更多政策信息请您关注“哈尔滨医保”微信公众号</w:t>
      </w:r>
    </w:p>
    <w:p w14:paraId="3C4E30B2">
      <w:pPr>
        <w:keepNext w:val="0"/>
        <w:keepLines w:val="0"/>
        <w:widowControl w:val="0"/>
        <w:suppressLineNumbers w:val="0"/>
        <w:spacing w:before="0" w:beforeAutospacing="0" w:after="0" w:afterAutospacing="0" w:line="360" w:lineRule="auto"/>
        <w:ind w:left="0" w:right="0" w:firstLine="497" w:firstLineChars="131"/>
        <w:jc w:val="both"/>
        <w:rPr>
          <w:rFonts w:hint="default" w:ascii="仿宋" w:hAnsi="仿宋" w:eastAsia="仿宋" w:cs="仿宋"/>
          <w:i w:val="0"/>
          <w:iCs w:val="0"/>
          <w:caps w:val="0"/>
          <w:spacing w:val="30"/>
          <w:kern w:val="0"/>
          <w:sz w:val="32"/>
          <w:szCs w:val="32"/>
          <w:highlight w:val="none"/>
          <w:shd w:val="clear" w:fill="FEFEFE"/>
          <w:lang w:val="en-US" w:eastAsia="zh-CN" w:bidi="ar"/>
        </w:rPr>
      </w:pPr>
      <w:r>
        <w:rPr>
          <w:rFonts w:hint="eastAsia" w:ascii="仿宋" w:hAnsi="仿宋" w:eastAsia="仿宋" w:cs="仿宋"/>
          <w:i w:val="0"/>
          <w:iCs w:val="0"/>
          <w:caps w:val="0"/>
          <w:spacing w:val="30"/>
          <w:kern w:val="0"/>
          <w:sz w:val="32"/>
          <w:szCs w:val="32"/>
          <w:highlight w:val="none"/>
          <w:shd w:val="clear" w:fill="FEFEFE"/>
          <w:lang w:val="en-US" w:eastAsia="zh-CN" w:bidi="ar"/>
        </w:rPr>
        <w:t xml:space="preserve">        </w:t>
      </w:r>
      <w:r>
        <w:rPr>
          <w:rFonts w:hint="default" w:ascii="仿宋" w:hAnsi="仿宋" w:eastAsia="仿宋" w:cs="仿宋"/>
          <w:i w:val="0"/>
          <w:iCs w:val="0"/>
          <w:caps w:val="0"/>
          <w:spacing w:val="30"/>
          <w:kern w:val="0"/>
          <w:sz w:val="32"/>
          <w:szCs w:val="32"/>
          <w:highlight w:val="none"/>
          <w:shd w:val="clear" w:fill="FEFEFE"/>
          <w:lang w:val="en-US" w:eastAsia="zh-CN" w:bidi="ar"/>
        </w:rPr>
        <w:drawing>
          <wp:inline distT="0" distB="0" distL="114300" distR="114300">
            <wp:extent cx="2085975" cy="2085975"/>
            <wp:effectExtent l="0" t="0" r="9525" b="9525"/>
            <wp:docPr id="3" name="图片 3" descr="a17a8f6f90cfb29144df8465b252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7a8f6f90cfb29144df8465b2529f3"/>
                    <pic:cNvPicPr>
                      <a:picLocks noChangeAspect="1"/>
                    </pic:cNvPicPr>
                  </pic:nvPicPr>
                  <pic:blipFill>
                    <a:blip r:embed="rId4"/>
                    <a:stretch>
                      <a:fillRect/>
                    </a:stretch>
                  </pic:blipFill>
                  <pic:spPr>
                    <a:xfrm>
                      <a:off x="0" y="0"/>
                      <a:ext cx="2085975" cy="2085975"/>
                    </a:xfrm>
                    <a:prstGeom prst="rect">
                      <a:avLst/>
                    </a:prstGeom>
                  </pic:spPr>
                </pic:pic>
              </a:graphicData>
            </a:graphic>
          </wp:inline>
        </w:drawing>
      </w:r>
    </w:p>
    <w:p w14:paraId="33B058E3">
      <w:pPr>
        <w:jc w:val="left"/>
        <w:rPr>
          <w:rFonts w:hint="default" w:ascii="仿宋" w:hAnsi="仿宋" w:eastAsia="仿宋" w:cs="仿宋"/>
          <w:b w:val="0"/>
          <w:bCs w:val="0"/>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兰亭细黑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2CB6"/>
    <w:multiLevelType w:val="singleLevel"/>
    <w:tmpl w:val="BEEE2CB6"/>
    <w:lvl w:ilvl="0" w:tentative="0">
      <w:start w:val="2"/>
      <w:numFmt w:val="decimal"/>
      <w:lvlText w:val="%1."/>
      <w:lvlJc w:val="left"/>
      <w:pPr>
        <w:tabs>
          <w:tab w:val="left" w:pos="312"/>
        </w:tabs>
        <w:ind w:left="480" w:leftChars="0" w:firstLine="0" w:firstLineChars="0"/>
      </w:pPr>
    </w:lvl>
  </w:abstractNum>
  <w:abstractNum w:abstractNumId="1">
    <w:nsid w:val="15FB6684"/>
    <w:multiLevelType w:val="singleLevel"/>
    <w:tmpl w:val="15FB668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GNiMjUzYzk1MjhkYmM2ZDM1ZTk1ZjU2Y2JkZGUifQ=="/>
  </w:docVars>
  <w:rsids>
    <w:rsidRoot w:val="00000000"/>
    <w:rsid w:val="056A2D14"/>
    <w:rsid w:val="06817168"/>
    <w:rsid w:val="0FFF2F91"/>
    <w:rsid w:val="11CE1714"/>
    <w:rsid w:val="12AF45B4"/>
    <w:rsid w:val="16411B30"/>
    <w:rsid w:val="18ED3FAB"/>
    <w:rsid w:val="1AE479A2"/>
    <w:rsid w:val="1DFC055B"/>
    <w:rsid w:val="1F4E2A7D"/>
    <w:rsid w:val="1F7745D8"/>
    <w:rsid w:val="24297E89"/>
    <w:rsid w:val="367B8F8B"/>
    <w:rsid w:val="36D82C3F"/>
    <w:rsid w:val="37AF6FC0"/>
    <w:rsid w:val="37B7E511"/>
    <w:rsid w:val="3A482A9C"/>
    <w:rsid w:val="3A63029C"/>
    <w:rsid w:val="3FD778E1"/>
    <w:rsid w:val="427938D8"/>
    <w:rsid w:val="456F6C5F"/>
    <w:rsid w:val="46CA2AEE"/>
    <w:rsid w:val="4C15710C"/>
    <w:rsid w:val="4CF737B7"/>
    <w:rsid w:val="4E7F3839"/>
    <w:rsid w:val="4EB2CFED"/>
    <w:rsid w:val="553F58B0"/>
    <w:rsid w:val="576A7C1C"/>
    <w:rsid w:val="5BBA1E5A"/>
    <w:rsid w:val="5BBA6974"/>
    <w:rsid w:val="5C616D47"/>
    <w:rsid w:val="5FF7A1B1"/>
    <w:rsid w:val="62511064"/>
    <w:rsid w:val="62FEF856"/>
    <w:rsid w:val="6B3DCFF4"/>
    <w:rsid w:val="6B4A5B63"/>
    <w:rsid w:val="6B6A7B8A"/>
    <w:rsid w:val="6BDF7FE9"/>
    <w:rsid w:val="6BFC1185"/>
    <w:rsid w:val="6EFF66E7"/>
    <w:rsid w:val="6F3A2FAC"/>
    <w:rsid w:val="6FFFD15C"/>
    <w:rsid w:val="739A0415"/>
    <w:rsid w:val="73FF0D0A"/>
    <w:rsid w:val="753068CE"/>
    <w:rsid w:val="76DD695E"/>
    <w:rsid w:val="7BBCFC79"/>
    <w:rsid w:val="7DBD56A5"/>
    <w:rsid w:val="7DFBA48A"/>
    <w:rsid w:val="7EC5143D"/>
    <w:rsid w:val="7EF16DB1"/>
    <w:rsid w:val="7EFF288D"/>
    <w:rsid w:val="7FA13D6E"/>
    <w:rsid w:val="7FB54A89"/>
    <w:rsid w:val="7FCF3085"/>
    <w:rsid w:val="7FEE46EE"/>
    <w:rsid w:val="7FEF720B"/>
    <w:rsid w:val="9FFE473F"/>
    <w:rsid w:val="A51E4147"/>
    <w:rsid w:val="AA74091E"/>
    <w:rsid w:val="B7F7477A"/>
    <w:rsid w:val="B8E9B3DD"/>
    <w:rsid w:val="C7B6ED19"/>
    <w:rsid w:val="D3BE134D"/>
    <w:rsid w:val="D9DD6C7A"/>
    <w:rsid w:val="DBF6B6E4"/>
    <w:rsid w:val="DCF6AA0C"/>
    <w:rsid w:val="DDFF7734"/>
    <w:rsid w:val="DEFF0936"/>
    <w:rsid w:val="DF5B574E"/>
    <w:rsid w:val="ECED0EC7"/>
    <w:rsid w:val="F1EE6843"/>
    <w:rsid w:val="F53976A7"/>
    <w:rsid w:val="F76D8D88"/>
    <w:rsid w:val="F8CF4D52"/>
    <w:rsid w:val="FB93DD77"/>
    <w:rsid w:val="FDFEC456"/>
    <w:rsid w:val="FDFFFE80"/>
    <w:rsid w:val="FE7D8B41"/>
    <w:rsid w:val="FE9F39C7"/>
    <w:rsid w:val="FEFF5983"/>
    <w:rsid w:val="FF752663"/>
    <w:rsid w:val="FFB7F8D9"/>
    <w:rsid w:val="FFF42FC1"/>
    <w:rsid w:val="FFFF32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楷体" w:hAnsi="楷体" w:eastAsia="楷体" w:cs="楷体"/>
      <w:sz w:val="21"/>
      <w:szCs w:val="21"/>
      <w:lang w:val="en-US" w:eastAsia="en-US" w:bidi="ar-SA"/>
    </w:rPr>
  </w:style>
  <w:style w:type="paragraph" w:styleId="4">
    <w:name w:val="Body Text Indent"/>
    <w:basedOn w:val="1"/>
    <w:qFormat/>
    <w:uiPriority w:val="0"/>
    <w:pPr>
      <w:spacing w:after="120"/>
      <w:ind w:left="420" w:leftChars="200"/>
    </w:p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w:basedOn w:val="1"/>
    <w:qFormat/>
    <w:uiPriority w:val="0"/>
    <w:pPr>
      <w:ind w:firstLine="420" w:firstLineChars="100"/>
    </w:pPr>
    <w:rPr>
      <w:rFonts w:hint="eastAsia" w:ascii="宋体" w:hAnsi="宋体" w:eastAsia="宋体"/>
      <w:kern w:val="0"/>
      <w:szCs w:val="21"/>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default" w:ascii="方正兰亭细黑简体" w:hAnsi="方正兰亭细黑简体" w:eastAsia="方正兰亭细黑简体" w:cs="方正兰亭细黑简体"/>
      <w:b/>
      <w:bCs/>
      <w:color w:val="000000"/>
      <w:sz w:val="22"/>
      <w:szCs w:val="22"/>
      <w:u w:val="none"/>
    </w:rPr>
  </w:style>
  <w:style w:type="character" w:customStyle="1" w:styleId="11">
    <w:name w:val="font31"/>
    <w:basedOn w:val="9"/>
    <w:qFormat/>
    <w:uiPriority w:val="0"/>
    <w:rPr>
      <w:rFonts w:hint="eastAsia" w:ascii="宋体" w:hAnsi="宋体" w:eastAsia="宋体" w:cs="宋体"/>
      <w:color w:val="000000"/>
      <w:sz w:val="21"/>
      <w:szCs w:val="21"/>
      <w:u w:val="none"/>
    </w:rPr>
  </w:style>
  <w:style w:type="character" w:customStyle="1" w:styleId="12">
    <w:name w:val="font21"/>
    <w:basedOn w:val="9"/>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2993</Words>
  <Characters>3364</Characters>
  <Lines>1</Lines>
  <Paragraphs>1</Paragraphs>
  <TotalTime>17</TotalTime>
  <ScaleCrop>false</ScaleCrop>
  <LinksUpToDate>false</LinksUpToDate>
  <CharactersWithSpaces>3397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2023-04-10T08:39:00Z</dcterms:created>
  <dc:creator>admin</dc:creator>
  <cp:lastModifiedBy>校医院医务科 张凌燕</cp:lastModifiedBy>
  <cp:lastPrinted>2023-07-21T16:41:00Z</cp:lastPrinted>
  <dcterms:modified xsi:type="dcterms:W3CDTF">2024-09-24T02:51:08Z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7AC251D5DE1C49F0873A8829E59CEB2D</vt:lpwstr>
  </property>
</Properties>
</file>